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520" w:rsidRPr="00093685" w:rsidRDefault="00737520" w:rsidP="00093685">
      <w:pPr>
        <w:widowControl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pl-PL" w:eastAsia="pl-PL"/>
        </w:rPr>
      </w:pPr>
      <w:r w:rsidRPr="00093685">
        <w:rPr>
          <w:rFonts w:ascii="Times New Roman" w:eastAsia="Times New Roman" w:hAnsi="Times New Roman" w:cs="Times New Roman"/>
          <w:lang w:val="pl-PL" w:eastAsia="pl-PL"/>
        </w:rPr>
        <w:t>Zał</w:t>
      </w:r>
      <w:bookmarkStart w:id="0" w:name="_GoBack"/>
      <w:bookmarkEnd w:id="0"/>
      <w:r w:rsidRPr="00093685">
        <w:rPr>
          <w:rFonts w:ascii="Times New Roman" w:eastAsia="Times New Roman" w:hAnsi="Times New Roman" w:cs="Times New Roman"/>
          <w:lang w:val="pl-PL" w:eastAsia="pl-PL"/>
        </w:rPr>
        <w:t>ącznik B.90.</w:t>
      </w:r>
    </w:p>
    <w:p w:rsidR="00737520" w:rsidRPr="00737520" w:rsidRDefault="00737520" w:rsidP="0009368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-5"/>
          <w:lang w:val="pl-PL"/>
        </w:rPr>
      </w:pPr>
    </w:p>
    <w:p w:rsidR="00474F55" w:rsidRPr="00C85003" w:rsidRDefault="00474F55" w:rsidP="00093685">
      <w:pPr>
        <w:spacing w:after="240" w:line="240" w:lineRule="auto"/>
        <w:outlineLvl w:val="0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</w:pPr>
      <w:r w:rsidRPr="00474F5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LECZENIE </w:t>
      </w:r>
      <w:r w:rsidR="00B4095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ZABURZEŃ MOTORYCZNYCH W PRZEBIEGU ZAAWANSOWANEJ CHOROBY PARKINSONA (ICD-10 G.20)</w:t>
      </w:r>
    </w:p>
    <w:tbl>
      <w:tblPr>
        <w:tblW w:w="4931" w:type="pct"/>
        <w:tblInd w:w="-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4"/>
        <w:gridCol w:w="3688"/>
        <w:gridCol w:w="5250"/>
      </w:tblGrid>
      <w:tr w:rsidR="00E15E77" w:rsidTr="00FB2B07">
        <w:trPr>
          <w:trHeight w:val="333"/>
        </w:trPr>
        <w:tc>
          <w:tcPr>
            <w:tcW w:w="151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2CD" w:rsidRPr="000A22CD" w:rsidRDefault="00A72250" w:rsidP="00C850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</w:pPr>
            <w:r w:rsidRPr="00C850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pl-PL" w:eastAsia="pl-PL"/>
              </w:rPr>
              <w:t>ZAKRES ŚWIADCZENIA GWARANTOWANEGO</w:t>
            </w:r>
          </w:p>
        </w:tc>
      </w:tr>
      <w:tr w:rsidR="00E15E77" w:rsidRPr="00CD3A00" w:rsidTr="00FB2B07">
        <w:tc>
          <w:tcPr>
            <w:tcW w:w="6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E77" w:rsidRDefault="00A72250" w:rsidP="00737520">
            <w:pPr>
              <w:spacing w:after="0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ŚW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NIO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CY</w:t>
            </w:r>
          </w:p>
        </w:tc>
        <w:tc>
          <w:tcPr>
            <w:tcW w:w="3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E77" w:rsidRPr="00D344B3" w:rsidRDefault="00A72250" w:rsidP="0036574A">
            <w:pPr>
              <w:spacing w:after="0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SC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H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E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AT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DAW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5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LE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KÓ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365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 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PR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G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RA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</w:p>
        </w:tc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E77" w:rsidRPr="00D344B3" w:rsidRDefault="00A72250" w:rsidP="00737520">
            <w:pPr>
              <w:spacing w:before="98" w:after="0"/>
              <w:ind w:right="1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B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ADAN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D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G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S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T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Y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C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pl-PL"/>
              </w:rPr>
              <w:t>Z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WY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NYWA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7"/>
                <w:sz w:val="20"/>
                <w:szCs w:val="20"/>
                <w:lang w:val="pl-PL"/>
              </w:rPr>
              <w:t xml:space="preserve"> </w:t>
            </w:r>
            <w:r w:rsidR="00365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 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RA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ACH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PR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G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RA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U</w:t>
            </w:r>
          </w:p>
        </w:tc>
      </w:tr>
      <w:tr w:rsidR="00E15E77" w:rsidRPr="00CD3A00" w:rsidTr="00FB2B07">
        <w:tc>
          <w:tcPr>
            <w:tcW w:w="6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0BF" w:rsidRDefault="000B7B27" w:rsidP="00160112">
            <w:pPr>
              <w:spacing w:before="120" w:after="0"/>
              <w:ind w:left="142" w:right="2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0B7B2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Pacjent jest kwalifi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kowany do programu przez Zespół</w:t>
            </w:r>
            <w:r w:rsidR="0016011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</w:t>
            </w:r>
            <w:r w:rsidRPr="000B7B2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oordynacyjny do Spraw Leczenia Zaburzeń Motorycznych w Przebiegu Choroby Parkinsona, powoływany przez Prezesa Narodowego Funduszu Zdrowia.</w:t>
            </w:r>
          </w:p>
          <w:p w:rsidR="004753A5" w:rsidRPr="00160112" w:rsidRDefault="00F41BD5" w:rsidP="00160112">
            <w:pPr>
              <w:pStyle w:val="Akapitzlist"/>
              <w:numPr>
                <w:ilvl w:val="0"/>
                <w:numId w:val="1"/>
              </w:numPr>
              <w:spacing w:before="120" w:after="120"/>
              <w:ind w:left="426" w:right="142" w:hanging="35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160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Leczenie lewodopą </w:t>
            </w:r>
            <w:r w:rsidR="00FB2B07"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podawaną</w:t>
            </w:r>
            <w:r w:rsidR="00FB2B07" w:rsidRPr="00160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160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z karbidopą</w:t>
            </w:r>
          </w:p>
          <w:p w:rsidR="00E15E77" w:rsidRPr="00F41BD5" w:rsidRDefault="00A72250" w:rsidP="00D256AD">
            <w:pPr>
              <w:pStyle w:val="Akapitzlist"/>
              <w:numPr>
                <w:ilvl w:val="1"/>
                <w:numId w:val="14"/>
              </w:numPr>
              <w:spacing w:after="0"/>
              <w:ind w:left="426"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r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yt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r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pl-PL"/>
              </w:rPr>
              <w:t>i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pl-PL"/>
              </w:rPr>
              <w:t xml:space="preserve"> 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pl-PL"/>
              </w:rPr>
              <w:t>k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w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lifi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pl-PL"/>
              </w:rPr>
              <w:t>k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c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j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i</w:t>
            </w:r>
            <w:r w:rsidR="00813CF5" w:rsidRPr="00F41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E71CC0" w:rsidRPr="00E71CC0" w:rsidRDefault="00E71CC0" w:rsidP="002046CD">
            <w:pPr>
              <w:pStyle w:val="Akapitzlist"/>
              <w:numPr>
                <w:ilvl w:val="0"/>
                <w:numId w:val="7"/>
              </w:numPr>
              <w:spacing w:after="0"/>
              <w:ind w:left="426" w:right="141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rozpoznanie choroby Parkinsona wg powszechnie przyjętych kryteriów UKPDS Brain Bank Criteria;</w:t>
            </w:r>
          </w:p>
          <w:p w:rsidR="00E71CC0" w:rsidRPr="00E71CC0" w:rsidRDefault="00E71CC0" w:rsidP="002046CD">
            <w:pPr>
              <w:pStyle w:val="Akapitzlist"/>
              <w:numPr>
                <w:ilvl w:val="0"/>
                <w:numId w:val="7"/>
              </w:numPr>
              <w:spacing w:after="0"/>
              <w:ind w:left="426" w:right="141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czas trwania choroby powyżej 5 lat;</w:t>
            </w:r>
          </w:p>
          <w:p w:rsidR="00E71CC0" w:rsidRPr="00E71CC0" w:rsidRDefault="0002543B" w:rsidP="002046CD">
            <w:pPr>
              <w:pStyle w:val="Akapitzlist"/>
              <w:numPr>
                <w:ilvl w:val="0"/>
                <w:numId w:val="7"/>
              </w:numPr>
              <w:ind w:left="426" w:right="141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zaawansowana postać choroby, tj. stany off i/lub on z uciążliwymi dyskinezami trwające co najmniej 50% czasu aktywności dobowej pacjenta, </w:t>
            </w:r>
            <w:r w:rsidR="000B7B2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dokumentowany zapisami w dzienniczku Hausera;</w:t>
            </w:r>
          </w:p>
          <w:p w:rsidR="00E71CC0" w:rsidRPr="00E71CC0" w:rsidRDefault="00E71CC0" w:rsidP="002046CD">
            <w:pPr>
              <w:pStyle w:val="Akapitzlist"/>
              <w:numPr>
                <w:ilvl w:val="0"/>
                <w:numId w:val="7"/>
              </w:numPr>
              <w:ind w:left="426" w:right="141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potwierdzona skuteczność stosowania lewodopy we wcześniejszym leczeniu;</w:t>
            </w:r>
          </w:p>
          <w:p w:rsidR="00E71CC0" w:rsidRPr="00E71CC0" w:rsidRDefault="00E71CC0" w:rsidP="002046CD">
            <w:pPr>
              <w:pStyle w:val="Akapitzlist"/>
              <w:numPr>
                <w:ilvl w:val="0"/>
                <w:numId w:val="7"/>
              </w:numPr>
              <w:ind w:left="426" w:right="141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wyczerpanie możliwości prowadzenia skutecznej terapii </w:t>
            </w:r>
            <w:r w:rsidR="000B7B2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co najmniej dwoma </w:t>
            </w: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lekami doustnymi </w:t>
            </w:r>
            <w:r w:rsidR="000B7B2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o różnych mechanizmach działania </w:t>
            </w: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lub wystąpienie działań niepożądanych, związa</w:t>
            </w:r>
            <w:r w:rsidR="0002543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nych ze stosowaniem tych leków</w:t>
            </w:r>
            <w:r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71CC0" w:rsidRPr="00AE3F20" w:rsidRDefault="0002543B" w:rsidP="002046CD">
            <w:pPr>
              <w:pStyle w:val="Akapitzlist"/>
              <w:numPr>
                <w:ilvl w:val="0"/>
                <w:numId w:val="7"/>
              </w:numPr>
              <w:ind w:left="426" w:right="141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obecność </w:t>
            </w:r>
            <w:r w:rsidR="00E71CC0" w:rsidRPr="00E71CC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przeciwwskazań do wszczepienia </w:t>
            </w:r>
            <w:r w:rsidR="00E71CC0" w:rsidRPr="00AE3F2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stymulator</w:t>
            </w:r>
            <w:r w:rsidRPr="00AE3F2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 do głębokiej stymulacji mózgu;</w:t>
            </w:r>
          </w:p>
          <w:p w:rsidR="000B7B27" w:rsidRDefault="0002543B" w:rsidP="002046CD">
            <w:pPr>
              <w:pStyle w:val="Akapitzlist"/>
              <w:numPr>
                <w:ilvl w:val="0"/>
                <w:numId w:val="7"/>
              </w:numPr>
              <w:ind w:left="426" w:right="141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AE3F2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codzienna obecność i pomoc ze strony opiekuna, który będzie w stanie obsłużyć PEG oraz pompę</w:t>
            </w:r>
            <w:r w:rsidR="00EE0B7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4753A5" w:rsidRPr="00F41BD5" w:rsidRDefault="000B7B27" w:rsidP="002046CD">
            <w:pPr>
              <w:pStyle w:val="Akapitzlist"/>
              <w:numPr>
                <w:ilvl w:val="0"/>
                <w:numId w:val="7"/>
              </w:numPr>
              <w:spacing w:after="0"/>
              <w:ind w:left="426" w:right="141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Ocena nastroju w skali Becka oraz badanie psychologiczne – ocena funkcji poznawczych wg. Kryteriów rozpoznania otępienia w</w:t>
            </w:r>
            <w:r w:rsidR="0016011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chorobie Parkinsona (Emre et al. Mov Disord 2007)</w:t>
            </w:r>
            <w:r w:rsidR="0002543B" w:rsidRPr="00AE3F2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F17267" w:rsidRPr="000B7B27" w:rsidRDefault="00F17267" w:rsidP="00D256AD">
            <w:pPr>
              <w:pStyle w:val="Akapitzlist"/>
              <w:numPr>
                <w:ilvl w:val="1"/>
                <w:numId w:val="13"/>
              </w:numPr>
              <w:spacing w:before="120" w:after="120"/>
              <w:ind w:left="426" w:right="142" w:hanging="35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 w:rsidRPr="000B7B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Kryteria uniemożliwiające kwalifikację do programu:</w:t>
            </w:r>
          </w:p>
          <w:p w:rsidR="00F17267" w:rsidRPr="00F81DBC" w:rsidRDefault="000B7B27" w:rsidP="002046CD">
            <w:pPr>
              <w:pStyle w:val="Akapitzlist"/>
              <w:numPr>
                <w:ilvl w:val="0"/>
                <w:numId w:val="9"/>
              </w:numPr>
              <w:spacing w:after="120"/>
              <w:ind w:left="426" w:right="141" w:hanging="284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Ciężka depresja w skali Becka lub z</w:t>
            </w:r>
            <w:r w:rsidR="00F17267" w:rsidRPr="00F81D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naczne nasilenie dysfunkcji poznawczych, uniemożliwiające dalszą współpracę chorego, a tym samym skuteczną kontynuację terapii;</w:t>
            </w:r>
          </w:p>
          <w:p w:rsidR="004753A5" w:rsidRPr="00FB2B07" w:rsidRDefault="0002543B" w:rsidP="002046CD">
            <w:pPr>
              <w:pStyle w:val="Akapitzlist"/>
              <w:numPr>
                <w:ilvl w:val="0"/>
                <w:numId w:val="9"/>
              </w:numPr>
              <w:spacing w:after="120"/>
              <w:ind w:left="426" w:right="142" w:hanging="284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Przeciwwskazania do stoso</w:t>
            </w:r>
            <w:r w:rsidR="0016011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wania systemu DuoDopa zgodnie z 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charakterystyką produktu leczniczego.</w:t>
            </w:r>
          </w:p>
          <w:p w:rsidR="00F17267" w:rsidRDefault="00F17267" w:rsidP="00D256AD">
            <w:pPr>
              <w:pStyle w:val="Akapitzlist"/>
              <w:numPr>
                <w:ilvl w:val="1"/>
                <w:numId w:val="13"/>
              </w:numPr>
              <w:spacing w:before="120" w:after="0"/>
              <w:ind w:left="426" w:right="142" w:hanging="35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Czas leczenia w programie:</w:t>
            </w:r>
          </w:p>
          <w:p w:rsidR="00F17267" w:rsidRPr="00F17267" w:rsidRDefault="00F17267" w:rsidP="00160112">
            <w:pPr>
              <w:spacing w:after="120"/>
              <w:ind w:left="142" w:right="14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</w:pPr>
            <w:r w:rsidRPr="00F172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Czas leczenia w programie określa lekarz na podstawie kryteriów </w:t>
            </w:r>
            <w:r w:rsidR="00726F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zaprzestania udziału</w:t>
            </w:r>
            <w:r w:rsidRPr="00F172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</w:t>
            </w:r>
            <w:r w:rsidR="00726F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w</w:t>
            </w:r>
            <w:r w:rsidRPr="00F172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program</w:t>
            </w:r>
            <w:r w:rsidR="00726F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ie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.</w:t>
            </w:r>
          </w:p>
          <w:p w:rsidR="009B51AF" w:rsidRPr="00813CF5" w:rsidRDefault="00D344B3" w:rsidP="00D256AD">
            <w:pPr>
              <w:pStyle w:val="Akapitzlist"/>
              <w:numPr>
                <w:ilvl w:val="1"/>
                <w:numId w:val="13"/>
              </w:numPr>
              <w:spacing w:before="120" w:after="120"/>
              <w:ind w:left="426" w:right="142" w:hanging="35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 w:rsidRPr="00AC3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Kryteria </w:t>
            </w:r>
            <w:r w:rsidR="00F81D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zaprzestania udziału</w:t>
            </w:r>
            <w:r w:rsidR="006959FD" w:rsidRPr="00AC3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F81D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w programie</w:t>
            </w:r>
            <w:r w:rsidR="006959FD" w:rsidRPr="00AC3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:</w:t>
            </w:r>
          </w:p>
          <w:p w:rsidR="0002543B" w:rsidRPr="0002543B" w:rsidRDefault="00F81DBC" w:rsidP="002046CD">
            <w:pPr>
              <w:pStyle w:val="Akapitzlist"/>
              <w:numPr>
                <w:ilvl w:val="0"/>
                <w:numId w:val="10"/>
              </w:numPr>
              <w:spacing w:after="120"/>
              <w:ind w:left="426" w:right="141" w:hanging="284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Brak potwierdzonej </w:t>
            </w:r>
            <w:r w:rsidR="000A22CD" w:rsidRPr="00F81D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skuteczności leczenia w czasie wstępnego okresu oceny skuteczności, trwającego do 7 dni, podczas którego ustala się w ramach hospitalizacji, czy ci</w:t>
            </w:r>
            <w:r w:rsidR="00D256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ągły wlew dojelitowy lewodopy z </w:t>
            </w:r>
            <w:r w:rsidR="000A22CD" w:rsidRPr="00F81D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karbidopą, podawanych w p</w:t>
            </w:r>
            <w:r w:rsidR="0002543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ostaci żelu przez sondę nosowo-dwunastniczą lub nosowo-dojelitową</w:t>
            </w:r>
            <w:r w:rsidR="000A22CD" w:rsidRPr="00F81D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, przynosi pożądany efekt kliniczny oraz ustala się wstępną dawkę leku</w:t>
            </w:r>
            <w:r w:rsidR="0002543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. </w:t>
            </w:r>
            <w:r w:rsidR="0002543B" w:rsidRPr="0002543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Pożądany efekt kliniczny zdefiniowano jako redukcję o co najmniej 30% czasu spędzanego w stanie off lub w stanie on z uciążliwymi dyskinezami</w:t>
            </w:r>
            <w:r w:rsidR="0002543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;</w:t>
            </w:r>
          </w:p>
          <w:p w:rsidR="00F81DBC" w:rsidRDefault="00F81DBC" w:rsidP="002046CD">
            <w:pPr>
              <w:pStyle w:val="Akapitzlist"/>
              <w:numPr>
                <w:ilvl w:val="0"/>
                <w:numId w:val="10"/>
              </w:numPr>
              <w:spacing w:after="120"/>
              <w:ind w:left="426" w:right="141" w:hanging="284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Niedające się opanować powikłania chirurgiczne, związane z PEG;</w:t>
            </w:r>
          </w:p>
          <w:p w:rsidR="00F81DBC" w:rsidRPr="00F81DBC" w:rsidRDefault="00F17267" w:rsidP="002046CD">
            <w:pPr>
              <w:pStyle w:val="Akapitzlist"/>
              <w:numPr>
                <w:ilvl w:val="0"/>
                <w:numId w:val="10"/>
              </w:numPr>
              <w:spacing w:after="120"/>
              <w:ind w:left="426" w:right="141" w:hanging="284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Rezygnacja pacjenta;</w:t>
            </w:r>
          </w:p>
          <w:p w:rsidR="00F17267" w:rsidRDefault="00F81DBC" w:rsidP="002046CD">
            <w:pPr>
              <w:pStyle w:val="Akapitzlist"/>
              <w:numPr>
                <w:ilvl w:val="0"/>
                <w:numId w:val="10"/>
              </w:numPr>
              <w:spacing w:after="120"/>
              <w:ind w:left="426" w:right="141" w:hanging="284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lastRenderedPageBreak/>
              <w:t xml:space="preserve">Dyskwalifikacja </w:t>
            </w:r>
            <w:r w:rsidR="002F139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powodu działań niepożądanych</w:t>
            </w:r>
            <w:r w:rsidR="00F1726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;</w:t>
            </w:r>
          </w:p>
          <w:p w:rsidR="008745C9" w:rsidRDefault="00F17267" w:rsidP="002046CD">
            <w:pPr>
              <w:pStyle w:val="Akapitzlist"/>
              <w:numPr>
                <w:ilvl w:val="0"/>
                <w:numId w:val="10"/>
              </w:numPr>
              <w:spacing w:after="120"/>
              <w:ind w:left="426" w:right="142" w:hanging="284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Utrata skuteczności leczenia mimo prób </w:t>
            </w:r>
            <w:r w:rsidR="00D256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dostosowania dawek leku, w </w:t>
            </w:r>
            <w:r w:rsidR="00260B05" w:rsidRPr="00F1726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okresie 6 mies. od implantacji systemu</w:t>
            </w:r>
            <w:r w:rsidR="0002543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.</w:t>
            </w:r>
          </w:p>
          <w:p w:rsidR="00160112" w:rsidRDefault="00160112" w:rsidP="00FB2B07">
            <w:pPr>
              <w:pStyle w:val="Akapitzlist"/>
              <w:numPr>
                <w:ilvl w:val="0"/>
                <w:numId w:val="1"/>
              </w:numPr>
              <w:spacing w:before="240" w:after="120"/>
              <w:ind w:left="426" w:right="142" w:hanging="35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 w:rsidRPr="0016011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Leczenie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16011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apomorfiną</w:t>
            </w:r>
          </w:p>
          <w:p w:rsidR="00FB2B07" w:rsidRPr="00D256AD" w:rsidRDefault="00FB2B07" w:rsidP="00D256AD">
            <w:pPr>
              <w:pStyle w:val="Akapitzlist"/>
              <w:numPr>
                <w:ilvl w:val="1"/>
                <w:numId w:val="30"/>
              </w:numPr>
              <w:spacing w:after="0"/>
              <w:ind w:left="426"/>
              <w:rPr>
                <w:rStyle w:val="Teksttreci"/>
                <w:rFonts w:ascii="Times New Roman" w:hAnsi="Times New Roman" w:cs="Times New Roman"/>
                <w:b/>
                <w:sz w:val="20"/>
                <w:szCs w:val="20"/>
              </w:rPr>
            </w:pPr>
            <w:r w:rsidRPr="00D256AD">
              <w:rPr>
                <w:rStyle w:val="Teksttreci"/>
                <w:rFonts w:ascii="Times New Roman" w:hAnsi="Times New Roman" w:cs="Times New Roman"/>
                <w:b/>
                <w:sz w:val="20"/>
                <w:szCs w:val="20"/>
              </w:rPr>
              <w:t>Kryteria kwalifikacji</w:t>
            </w:r>
          </w:p>
          <w:p w:rsidR="00160112" w:rsidRPr="00CD3A00" w:rsidRDefault="00160112" w:rsidP="00D256AD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 programu kwalifikowani są pacjenci z chorobą</w:t>
            </w:r>
            <w:r w:rsidR="00D256A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Parkinsona, spełniający łącznie wszystkie poniższe kryteria:</w:t>
            </w:r>
          </w:p>
          <w:p w:rsidR="00160112" w:rsidRPr="008B41C6" w:rsidRDefault="00160112" w:rsidP="00D256AD">
            <w:pPr>
              <w:numPr>
                <w:ilvl w:val="0"/>
                <w:numId w:val="21"/>
              </w:numPr>
              <w:tabs>
                <w:tab w:val="left" w:pos="567"/>
              </w:tabs>
              <w:spacing w:after="0"/>
              <w:ind w:left="476" w:right="13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wiek &gt;18. r.ż.;</w:t>
            </w:r>
          </w:p>
          <w:p w:rsidR="00160112" w:rsidRPr="00CD3A00" w:rsidRDefault="00160112" w:rsidP="00D256AD">
            <w:pPr>
              <w:numPr>
                <w:ilvl w:val="0"/>
                <w:numId w:val="21"/>
              </w:numPr>
              <w:tabs>
                <w:tab w:val="left" w:pos="567"/>
              </w:tabs>
              <w:spacing w:after="0"/>
              <w:ind w:left="476" w:right="138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rozpoznana idiopatyczna postać choroby Parkinsona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według przyjętych kryteriów (</w:t>
            </w:r>
            <w:r w:rsidRPr="00CD3A00">
              <w:rPr>
                <w:rStyle w:val="TeksttreciKursywa"/>
                <w:rFonts w:ascii="Times New Roman" w:eastAsiaTheme="minorHAnsi" w:hAnsi="Times New Roman"/>
                <w:sz w:val="20"/>
                <w:szCs w:val="20"/>
                <w:lang w:val="pl-PL"/>
              </w:rPr>
              <w:t>United Kingdom Parkinson’s Disease Brain Bank Criteria),</w:t>
            </w:r>
          </w:p>
          <w:p w:rsidR="00160112" w:rsidRPr="00CD3A00" w:rsidRDefault="00160112" w:rsidP="00D256AD">
            <w:pPr>
              <w:numPr>
                <w:ilvl w:val="0"/>
                <w:numId w:val="21"/>
              </w:numPr>
              <w:tabs>
                <w:tab w:val="left" w:pos="567"/>
              </w:tabs>
              <w:spacing w:after="0"/>
              <w:ind w:left="476" w:right="138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zaawansowana choroba Parkinsona 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  <w:lang w:bidi="en-US"/>
              </w:rPr>
              <w:t>- stadium ≥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  <w:lang w:bidi="en-US"/>
              </w:rPr>
              <w:t>3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według skali Hoehn i Yahr, z fluktuacjami ruchowymi,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które utrzymują się mimo stosowania optymalnego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leczenia farmakologicznego (stany </w:t>
            </w:r>
            <w:r w:rsidRPr="008B41C6">
              <w:rPr>
                <w:rStyle w:val="Teksttreci"/>
                <w:rFonts w:ascii="Times New Roman" w:hAnsi="Times New Roman" w:cs="Times New Roman"/>
                <w:i/>
                <w:sz w:val="20"/>
                <w:szCs w:val="20"/>
                <w:lang w:bidi="en-US"/>
              </w:rPr>
              <w:t xml:space="preserve">off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łąc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znie ≥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połowy</w:t>
            </w:r>
            <w:r w:rsidR="00D256A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czasu aktywności dobowej pacjenta) za pomocą</w:t>
            </w:r>
            <w:r w:rsidR="00D256A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doustnych leków przeciw chorobie Parkinsona;</w:t>
            </w:r>
          </w:p>
          <w:p w:rsidR="00160112" w:rsidRPr="00CD3A00" w:rsidRDefault="00160112" w:rsidP="00D256AD">
            <w:pPr>
              <w:numPr>
                <w:ilvl w:val="0"/>
                <w:numId w:val="21"/>
              </w:numPr>
              <w:tabs>
                <w:tab w:val="left" w:pos="567"/>
              </w:tabs>
              <w:spacing w:after="0"/>
              <w:ind w:left="476" w:right="138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czas trwania choroby co najmniej 5 lat od początku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objawów;</w:t>
            </w:r>
          </w:p>
          <w:p w:rsidR="00160112" w:rsidRPr="00CD3A00" w:rsidRDefault="00160112" w:rsidP="00D256AD">
            <w:pPr>
              <w:numPr>
                <w:ilvl w:val="0"/>
                <w:numId w:val="21"/>
              </w:numPr>
              <w:tabs>
                <w:tab w:val="left" w:pos="567"/>
              </w:tabs>
              <w:spacing w:after="0"/>
              <w:ind w:left="476" w:right="138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brak przeciwwskazań do stosowania apomorfiny,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wynikających z:</w:t>
            </w:r>
          </w:p>
          <w:p w:rsidR="00160112" w:rsidRPr="00CD3A00" w:rsidRDefault="00160112" w:rsidP="00D256AD">
            <w:pPr>
              <w:pStyle w:val="Akapitzlist"/>
              <w:numPr>
                <w:ilvl w:val="1"/>
                <w:numId w:val="21"/>
              </w:numPr>
              <w:tabs>
                <w:tab w:val="left" w:pos="567"/>
              </w:tabs>
              <w:spacing w:after="0"/>
              <w:ind w:left="851" w:right="138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istotnych klinicznie zaburzeń psychotycznych stwierdzonych w</w:t>
            </w:r>
            <w:r w:rsidR="00D256A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 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wywiadzie;</w:t>
            </w:r>
          </w:p>
          <w:p w:rsidR="00160112" w:rsidRPr="00CD3A00" w:rsidRDefault="00160112" w:rsidP="00D256AD">
            <w:pPr>
              <w:pStyle w:val="Akapitzlist"/>
              <w:numPr>
                <w:ilvl w:val="1"/>
                <w:numId w:val="21"/>
              </w:numPr>
              <w:tabs>
                <w:tab w:val="left" w:pos="567"/>
              </w:tabs>
              <w:spacing w:after="0"/>
              <w:ind w:left="851" w:right="138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istotnych klinicznie objawów hipotonii ortostatycznej;</w:t>
            </w:r>
          </w:p>
          <w:p w:rsidR="00160112" w:rsidRPr="00CD3A00" w:rsidRDefault="00160112" w:rsidP="00D256AD">
            <w:pPr>
              <w:pStyle w:val="Akapitzlist"/>
              <w:numPr>
                <w:ilvl w:val="1"/>
                <w:numId w:val="21"/>
              </w:numPr>
              <w:tabs>
                <w:tab w:val="left" w:pos="567"/>
              </w:tabs>
              <w:spacing w:after="0"/>
              <w:ind w:left="851" w:right="138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istotnych klinicznie zaburzeń rytmu serca;</w:t>
            </w:r>
          </w:p>
          <w:p w:rsidR="00160112" w:rsidRDefault="00160112" w:rsidP="00D256AD">
            <w:pPr>
              <w:pStyle w:val="Akapitzlist"/>
              <w:widowControl/>
              <w:numPr>
                <w:ilvl w:val="0"/>
                <w:numId w:val="21"/>
              </w:numPr>
              <w:tabs>
                <w:tab w:val="left" w:pos="567"/>
                <w:tab w:val="left" w:pos="3390"/>
              </w:tabs>
              <w:autoSpaceDE w:val="0"/>
              <w:autoSpaceDN w:val="0"/>
              <w:adjustRightInd w:val="0"/>
              <w:spacing w:after="120"/>
              <w:ind w:left="476" w:right="138" w:hanging="284"/>
              <w:jc w:val="both"/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obecność przeciwwskazań do wszczepienia stymulatora do głębokiej stymulacji mózgu;</w:t>
            </w:r>
          </w:p>
          <w:p w:rsidR="00160112" w:rsidRDefault="00160112" w:rsidP="00D256AD">
            <w:pPr>
              <w:pStyle w:val="Akapitzlist"/>
              <w:widowControl/>
              <w:numPr>
                <w:ilvl w:val="0"/>
                <w:numId w:val="21"/>
              </w:numPr>
              <w:tabs>
                <w:tab w:val="left" w:pos="567"/>
                <w:tab w:val="left" w:pos="3390"/>
              </w:tabs>
              <w:autoSpaceDE w:val="0"/>
              <w:autoSpaceDN w:val="0"/>
              <w:adjustRightInd w:val="0"/>
              <w:spacing w:after="120"/>
              <w:ind w:left="476" w:right="138" w:hanging="284"/>
              <w:jc w:val="both"/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uzyskanie pisemnej zgody na leczenie;</w:t>
            </w:r>
          </w:p>
          <w:p w:rsidR="00FB2B07" w:rsidRPr="00FB2B07" w:rsidRDefault="00160112" w:rsidP="00D256AD">
            <w:pPr>
              <w:pStyle w:val="Akapitzlist"/>
              <w:widowControl/>
              <w:numPr>
                <w:ilvl w:val="0"/>
                <w:numId w:val="21"/>
              </w:numPr>
              <w:tabs>
                <w:tab w:val="left" w:pos="567"/>
                <w:tab w:val="left" w:pos="3390"/>
              </w:tabs>
              <w:autoSpaceDE w:val="0"/>
              <w:autoSpaceDN w:val="0"/>
              <w:adjustRightInd w:val="0"/>
              <w:spacing w:after="120"/>
              <w:ind w:left="476" w:right="138" w:hanging="284"/>
              <w:contextualSpacing w:val="0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val="pl-PL" w:eastAsia="pl-PL" w:bidi="pl-PL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współpraca pacjenta lub jego opiekuna w trakcie</w:t>
            </w:r>
            <w:r w:rsidR="00D256A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terapii.</w:t>
            </w:r>
          </w:p>
          <w:p w:rsidR="00160112" w:rsidRPr="00FB2B07" w:rsidRDefault="00160112" w:rsidP="00D256AD">
            <w:pPr>
              <w:pStyle w:val="Akapitzlist"/>
              <w:widowControl/>
              <w:numPr>
                <w:ilvl w:val="1"/>
                <w:numId w:val="30"/>
              </w:numPr>
              <w:tabs>
                <w:tab w:val="left" w:pos="567"/>
                <w:tab w:val="left" w:pos="3390"/>
              </w:tabs>
              <w:autoSpaceDE w:val="0"/>
              <w:autoSpaceDN w:val="0"/>
              <w:adjustRightInd w:val="0"/>
              <w:spacing w:before="120" w:after="120"/>
              <w:ind w:left="426" w:hanging="357"/>
              <w:contextualSpacing w:val="0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val="pl-PL" w:eastAsia="pl-PL" w:bidi="pl-PL"/>
              </w:rPr>
            </w:pPr>
            <w:r w:rsidRPr="00FB2B0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Określenie czasu leczenia w programie:</w:t>
            </w:r>
          </w:p>
          <w:p w:rsidR="00160112" w:rsidRPr="008B41C6" w:rsidRDefault="00160112" w:rsidP="00D256AD">
            <w:pPr>
              <w:autoSpaceDE w:val="0"/>
              <w:autoSpaceDN w:val="0"/>
              <w:adjustRightInd w:val="0"/>
              <w:spacing w:after="0"/>
              <w:ind w:left="142"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>Czas leczenia w programie określa lekarz na podstawie</w:t>
            </w:r>
            <w:r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>kryteriów włączenia i kryteriów wyłączenia z programu.</w:t>
            </w:r>
            <w:r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>Nie ma zaleceń dotyczących maksymalnego okresu</w:t>
            </w:r>
            <w:r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>leczenia, jednak ze względu na przewlekły charakter</w:t>
            </w:r>
            <w:r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>choroby, leczenie może trwać kilka lat.</w:t>
            </w:r>
            <w:r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 xml:space="preserve"> </w:t>
            </w:r>
          </w:p>
          <w:p w:rsidR="00160112" w:rsidRPr="008B41C6" w:rsidRDefault="00160112" w:rsidP="00D256AD">
            <w:pPr>
              <w:pStyle w:val="Teksttreci20"/>
              <w:numPr>
                <w:ilvl w:val="1"/>
                <w:numId w:val="30"/>
              </w:numPr>
              <w:shd w:val="clear" w:color="auto" w:fill="auto"/>
              <w:spacing w:before="120" w:after="120" w:line="170" w:lineRule="exact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Kryteria wyłączenia</w:t>
            </w:r>
          </w:p>
          <w:p w:rsidR="00160112" w:rsidRPr="008B41C6" w:rsidRDefault="00160112" w:rsidP="00E76E4E">
            <w:pPr>
              <w:numPr>
                <w:ilvl w:val="0"/>
                <w:numId w:val="17"/>
              </w:numPr>
              <w:spacing w:after="0"/>
              <w:ind w:left="567" w:right="138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brak zgody chorego;</w:t>
            </w:r>
          </w:p>
          <w:p w:rsidR="00160112" w:rsidRPr="008B41C6" w:rsidRDefault="00160112" w:rsidP="00E76E4E">
            <w:pPr>
              <w:numPr>
                <w:ilvl w:val="0"/>
                <w:numId w:val="17"/>
              </w:numPr>
              <w:spacing w:after="0"/>
              <w:ind w:left="567" w:right="138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ciężka depresja;</w:t>
            </w:r>
          </w:p>
          <w:p w:rsidR="00160112" w:rsidRPr="00CD3A00" w:rsidRDefault="00160112" w:rsidP="00E76E4E">
            <w:pPr>
              <w:numPr>
                <w:ilvl w:val="0"/>
                <w:numId w:val="17"/>
              </w:numPr>
              <w:spacing w:after="0"/>
              <w:ind w:left="567" w:right="138" w:hanging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brak współpracy pacjenta  lub opiekuna;</w:t>
            </w:r>
          </w:p>
          <w:p w:rsidR="00160112" w:rsidRPr="00CD3A00" w:rsidRDefault="00160112" w:rsidP="00E76E4E">
            <w:pPr>
              <w:numPr>
                <w:ilvl w:val="0"/>
                <w:numId w:val="17"/>
              </w:numPr>
              <w:spacing w:after="0"/>
              <w:ind w:left="567" w:right="138" w:hanging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niepełna lub niewystarczająca odpowiedź na leczenie,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tj. nie osiągnięcie w ciągu 3 miesięcy leczenia obu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poniższych parametrów:</w:t>
            </w:r>
          </w:p>
          <w:p w:rsidR="00160112" w:rsidRPr="00CD3A00" w:rsidRDefault="00160112" w:rsidP="00E76E4E">
            <w:pPr>
              <w:numPr>
                <w:ilvl w:val="0"/>
                <w:numId w:val="18"/>
              </w:numPr>
              <w:spacing w:after="0"/>
              <w:ind w:left="851" w:right="138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poprawy w stanie </w:t>
            </w:r>
            <w:r w:rsidRPr="00CD3A00">
              <w:rPr>
                <w:rStyle w:val="TeksttreciKursywa"/>
                <w:rFonts w:ascii="Times New Roman" w:eastAsiaTheme="minorHAnsi" w:hAnsi="Times New Roman"/>
                <w:sz w:val="20"/>
                <w:szCs w:val="20"/>
                <w:lang w:val="pl-PL"/>
              </w:rPr>
              <w:t>on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w stosunku do stanu </w:t>
            </w:r>
            <w:r w:rsidRPr="00CD3A00">
              <w:rPr>
                <w:rStyle w:val="TeksttreciKursywa"/>
                <w:rFonts w:ascii="Times New Roman" w:eastAsiaTheme="minorHAnsi" w:hAnsi="Times New Roman"/>
                <w:sz w:val="20"/>
                <w:szCs w:val="20"/>
                <w:lang w:val="pl-PL"/>
              </w:rPr>
              <w:t xml:space="preserve">off,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wyrażającej się obniżeniem wyniku III części skali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UPDRS o co najmniej 20% po ustaleniu dawki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optymalnej;</w:t>
            </w:r>
          </w:p>
          <w:p w:rsidR="00160112" w:rsidRPr="00CD3A00" w:rsidRDefault="00160112" w:rsidP="00E76E4E">
            <w:pPr>
              <w:numPr>
                <w:ilvl w:val="0"/>
                <w:numId w:val="18"/>
              </w:numPr>
              <w:spacing w:after="0"/>
              <w:ind w:left="851" w:right="138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965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skrócenia łącznego okresu stanów </w:t>
            </w:r>
            <w:r w:rsidRPr="00CD3A00">
              <w:rPr>
                <w:rStyle w:val="TeksttreciKursywa"/>
                <w:rFonts w:ascii="Times New Roman" w:eastAsiaTheme="minorHAnsi" w:hAnsi="Times New Roman"/>
                <w:sz w:val="20"/>
                <w:szCs w:val="20"/>
                <w:lang w:val="pl-PL"/>
              </w:rPr>
              <w:t>off</w:t>
            </w:r>
            <w:r w:rsidRPr="00D965B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o co najmniej 50%;</w:t>
            </w:r>
          </w:p>
          <w:p w:rsidR="00160112" w:rsidRPr="00CD3A00" w:rsidRDefault="00160112" w:rsidP="00E76E4E">
            <w:pPr>
              <w:numPr>
                <w:ilvl w:val="0"/>
                <w:numId w:val="17"/>
              </w:numPr>
              <w:spacing w:after="0"/>
              <w:ind w:left="567" w:right="138" w:hanging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pogorszenie w trakcie kontynuacji leczenia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osiągniętego poziomu sprawności określonej w definicji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odpowiedzi na leczenie;</w:t>
            </w:r>
          </w:p>
          <w:p w:rsidR="00160112" w:rsidRPr="00CD3A00" w:rsidRDefault="00160112" w:rsidP="00E76E4E">
            <w:pPr>
              <w:numPr>
                <w:ilvl w:val="0"/>
                <w:numId w:val="17"/>
              </w:numPr>
              <w:spacing w:after="0"/>
              <w:ind w:left="567" w:right="138" w:hanging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wystąpienie nadwrażliwości na chlorowodorek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apomorfiny lub substancje pomocnicze;</w:t>
            </w:r>
          </w:p>
          <w:p w:rsidR="00160112" w:rsidRPr="00CD3A00" w:rsidRDefault="00160112" w:rsidP="00E76E4E">
            <w:pPr>
              <w:numPr>
                <w:ilvl w:val="0"/>
                <w:numId w:val="17"/>
              </w:numPr>
              <w:spacing w:after="0"/>
              <w:ind w:left="567" w:right="138" w:hanging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chorzy, u których występuje odpowiedź </w:t>
            </w:r>
            <w:r w:rsidRPr="00CD3A00">
              <w:rPr>
                <w:rStyle w:val="TeksttreciKursywa"/>
                <w:rFonts w:ascii="Times New Roman" w:eastAsiaTheme="minorHAnsi" w:hAnsi="Times New Roman"/>
                <w:sz w:val="20"/>
                <w:szCs w:val="20"/>
                <w:lang w:val="pl-PL"/>
              </w:rPr>
              <w:t>on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na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lewodopę zakłócona ciężkimi dyskinezami lub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dystonią;</w:t>
            </w:r>
          </w:p>
          <w:p w:rsidR="00160112" w:rsidRPr="00CD3A00" w:rsidRDefault="00160112" w:rsidP="00E76E4E">
            <w:pPr>
              <w:numPr>
                <w:ilvl w:val="0"/>
                <w:numId w:val="17"/>
              </w:numPr>
              <w:spacing w:after="0"/>
              <w:ind w:left="567" w:right="138" w:hanging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dyskwalifikacja z powodu działań niepożądanych;</w:t>
            </w:r>
          </w:p>
          <w:p w:rsidR="00160112" w:rsidRPr="008B41C6" w:rsidRDefault="00160112" w:rsidP="00E76E4E">
            <w:pPr>
              <w:numPr>
                <w:ilvl w:val="0"/>
                <w:numId w:val="17"/>
              </w:numPr>
              <w:spacing w:after="180"/>
              <w:ind w:left="567" w:right="138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rezygnacja pacjenta.</w:t>
            </w:r>
          </w:p>
          <w:p w:rsidR="00160112" w:rsidRPr="00CD3A00" w:rsidRDefault="00160112" w:rsidP="00E76E4E">
            <w:pPr>
              <w:pStyle w:val="Teksttreci20"/>
              <w:numPr>
                <w:ilvl w:val="1"/>
                <w:numId w:val="30"/>
              </w:numPr>
              <w:shd w:val="clear" w:color="auto" w:fill="auto"/>
              <w:spacing w:before="120" w:after="120"/>
              <w:ind w:left="567" w:right="138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Przeciwwskazania do włączenia do programu:</w:t>
            </w:r>
          </w:p>
          <w:p w:rsidR="00160112" w:rsidRPr="00CD3A00" w:rsidRDefault="00160112" w:rsidP="00E76E4E">
            <w:pPr>
              <w:numPr>
                <w:ilvl w:val="0"/>
                <w:numId w:val="19"/>
              </w:numPr>
              <w:spacing w:after="0"/>
              <w:ind w:left="567" w:right="138" w:hanging="35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nadwrażliwość na pochodne morfiny lub substancje</w:t>
            </w:r>
            <w:r w:rsidR="00FB2B07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pomocnicze produktu;</w:t>
            </w:r>
          </w:p>
          <w:p w:rsidR="00160112" w:rsidRPr="00CD3A00" w:rsidRDefault="00160112" w:rsidP="00E76E4E">
            <w:pPr>
              <w:numPr>
                <w:ilvl w:val="0"/>
                <w:numId w:val="19"/>
              </w:numPr>
              <w:spacing w:after="0"/>
              <w:ind w:left="567" w:right="138" w:hanging="35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jednoczesne leczenie za pomocą wlewów dojelitowych lewodopy; </w:t>
            </w:r>
          </w:p>
          <w:p w:rsidR="00160112" w:rsidRPr="008B41C6" w:rsidRDefault="00160112" w:rsidP="00E76E4E">
            <w:pPr>
              <w:numPr>
                <w:ilvl w:val="0"/>
                <w:numId w:val="19"/>
              </w:numPr>
              <w:spacing w:after="0"/>
              <w:ind w:left="567" w:right="138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atypowy parkinsonizm;</w:t>
            </w:r>
          </w:p>
          <w:p w:rsidR="00160112" w:rsidRPr="008B41C6" w:rsidRDefault="00160112" w:rsidP="00E76E4E">
            <w:pPr>
              <w:numPr>
                <w:ilvl w:val="0"/>
                <w:numId w:val="19"/>
              </w:numPr>
              <w:spacing w:after="0"/>
              <w:ind w:left="567" w:right="138" w:hanging="3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lastRenderedPageBreak/>
              <w:t>nasilone otępienie</w:t>
            </w: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;</w:t>
            </w:r>
          </w:p>
          <w:p w:rsidR="00160112" w:rsidRPr="008B41C6" w:rsidRDefault="00160112" w:rsidP="00E76E4E">
            <w:pPr>
              <w:numPr>
                <w:ilvl w:val="0"/>
                <w:numId w:val="19"/>
              </w:numPr>
              <w:spacing w:after="0"/>
              <w:ind w:left="567" w:right="138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depresja oddechowa;</w:t>
            </w:r>
          </w:p>
          <w:p w:rsidR="00160112" w:rsidRDefault="00160112" w:rsidP="00E76E4E">
            <w:pPr>
              <w:numPr>
                <w:ilvl w:val="0"/>
                <w:numId w:val="19"/>
              </w:numPr>
              <w:spacing w:after="0"/>
              <w:ind w:left="567" w:right="138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klinicznie istotne zaburzenia psychotyczne;</w:t>
            </w:r>
          </w:p>
          <w:p w:rsidR="00160112" w:rsidRPr="00D965B2" w:rsidRDefault="00160112" w:rsidP="00E76E4E">
            <w:pPr>
              <w:numPr>
                <w:ilvl w:val="0"/>
                <w:numId w:val="19"/>
              </w:numPr>
              <w:spacing w:after="0"/>
              <w:ind w:left="567" w:right="138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D965B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klinicznie istotna hipotonia ortostatyczna;</w:t>
            </w:r>
          </w:p>
          <w:p w:rsidR="00160112" w:rsidRPr="008B41C6" w:rsidRDefault="00160112" w:rsidP="00E76E4E">
            <w:pPr>
              <w:numPr>
                <w:ilvl w:val="0"/>
                <w:numId w:val="19"/>
              </w:numPr>
              <w:spacing w:after="0"/>
              <w:ind w:left="567" w:right="138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niestabilne, klinicznie istotne choroby:</w:t>
            </w:r>
          </w:p>
          <w:p w:rsidR="00160112" w:rsidRPr="008B41C6" w:rsidRDefault="00160112" w:rsidP="00E76E4E">
            <w:pPr>
              <w:numPr>
                <w:ilvl w:val="0"/>
                <w:numId w:val="20"/>
              </w:numPr>
              <w:spacing w:after="0"/>
              <w:ind w:left="426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sercowo-naczyniowe;</w:t>
            </w:r>
          </w:p>
          <w:p w:rsidR="00160112" w:rsidRPr="008B41C6" w:rsidRDefault="00160112" w:rsidP="00E76E4E">
            <w:pPr>
              <w:numPr>
                <w:ilvl w:val="0"/>
                <w:numId w:val="20"/>
              </w:numPr>
              <w:spacing w:after="0"/>
              <w:ind w:left="426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wątroby;</w:t>
            </w:r>
          </w:p>
          <w:p w:rsidR="00160112" w:rsidRPr="008B41C6" w:rsidRDefault="00160112" w:rsidP="00E76E4E">
            <w:pPr>
              <w:numPr>
                <w:ilvl w:val="0"/>
                <w:numId w:val="20"/>
              </w:numPr>
              <w:spacing w:after="0"/>
              <w:ind w:left="426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nerek;</w:t>
            </w:r>
          </w:p>
          <w:p w:rsidR="00160112" w:rsidRPr="008B41C6" w:rsidRDefault="00160112" w:rsidP="00E76E4E">
            <w:pPr>
              <w:numPr>
                <w:ilvl w:val="0"/>
                <w:numId w:val="20"/>
              </w:numPr>
              <w:spacing w:after="0"/>
              <w:ind w:left="426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hematologiczne;</w:t>
            </w:r>
          </w:p>
          <w:p w:rsidR="00160112" w:rsidRPr="00160112" w:rsidRDefault="00160112" w:rsidP="00E76E4E">
            <w:pPr>
              <w:pStyle w:val="Akapitzlist"/>
              <w:numPr>
                <w:ilvl w:val="0"/>
                <w:numId w:val="19"/>
              </w:numPr>
              <w:spacing w:after="120"/>
              <w:ind w:left="567" w:right="138" w:hanging="35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ciąża i karmienie piersią</w:t>
            </w:r>
          </w:p>
        </w:tc>
        <w:tc>
          <w:tcPr>
            <w:tcW w:w="3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A5" w:rsidRPr="00FB2B07" w:rsidRDefault="00F41BD5" w:rsidP="00D256AD">
            <w:pPr>
              <w:pStyle w:val="Akapitzlist"/>
              <w:numPr>
                <w:ilvl w:val="0"/>
                <w:numId w:val="2"/>
              </w:numPr>
              <w:spacing w:before="120" w:after="120"/>
              <w:ind w:left="341" w:right="141" w:hanging="284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lastRenderedPageBreak/>
              <w:t>Leczenie</w:t>
            </w:r>
            <w:r w:rsidR="00B35705"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lewodopa podawaną</w:t>
            </w:r>
            <w:r w:rsidR="0016011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z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karb</w:t>
            </w:r>
            <w:r w:rsidR="00B35705"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idopą</w:t>
            </w:r>
          </w:p>
          <w:p w:rsidR="00D256AD" w:rsidRDefault="00B35705" w:rsidP="00D256AD">
            <w:pPr>
              <w:pStyle w:val="Akapitzlist"/>
              <w:numPr>
                <w:ilvl w:val="1"/>
                <w:numId w:val="14"/>
              </w:numPr>
              <w:spacing w:before="120" w:after="120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Sposób podania: </w:t>
            </w:r>
          </w:p>
          <w:p w:rsidR="004753A5" w:rsidRPr="00FB2B07" w:rsidRDefault="00B35705" w:rsidP="00D256AD">
            <w:pPr>
              <w:pStyle w:val="Akapitzlist"/>
              <w:spacing w:after="0"/>
              <w:ind w:left="145"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za pomocą specjalnej pompy, w postaci ciągłego wlewu dojelitowego, przez przezskórną gastrostomię (PEG)</w:t>
            </w:r>
          </w:p>
          <w:p w:rsidR="0087106A" w:rsidRDefault="00AC30BF" w:rsidP="00D256AD">
            <w:pPr>
              <w:pStyle w:val="Akapitzlist"/>
              <w:numPr>
                <w:ilvl w:val="1"/>
                <w:numId w:val="14"/>
              </w:numPr>
              <w:spacing w:before="120" w:after="120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Dawkowanie</w:t>
            </w:r>
            <w:r w:rsidR="00B3570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:</w:t>
            </w:r>
          </w:p>
          <w:p w:rsidR="00260B05" w:rsidRPr="00260B05" w:rsidRDefault="00260B05" w:rsidP="00D256AD">
            <w:pPr>
              <w:spacing w:after="0"/>
              <w:ind w:left="196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88240E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 ramac</w:t>
            </w:r>
            <w:r w:rsidR="0016011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h programu dawkowanie zgodnie z </w:t>
            </w:r>
            <w:r w:rsidRPr="0088240E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Charakterystyką Produktu Leczniczego.</w:t>
            </w:r>
          </w:p>
          <w:p w:rsidR="00260B05" w:rsidRPr="00260B05" w:rsidRDefault="00260B05" w:rsidP="00D256AD">
            <w:pPr>
              <w:spacing w:after="0"/>
              <w:ind w:left="196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 okresie</w:t>
            </w:r>
            <w:r w:rsidR="0016011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dostosowania dawki, lewodopa z </w:t>
            </w: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karbidopą są podawane w postaci ciągłego wlewu dojelitowego przez sondę nosowo-</w:t>
            </w:r>
            <w:r w:rsidRPr="0088240E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dwunastniczą lub nosowo-dojelitową, w</w:t>
            </w:r>
            <w:r w:rsidR="0016011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 </w:t>
            </w: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zmiennej dawce, zależnej od potrzeby klinicznej. W tym czasie określa się reaktywność choroby na tę formę terapii i ustala właściwą dawkę.</w:t>
            </w:r>
          </w:p>
          <w:p w:rsidR="00260B05" w:rsidRPr="00260B05" w:rsidRDefault="00260B05" w:rsidP="00D256AD">
            <w:pPr>
              <w:spacing w:after="0"/>
              <w:ind w:left="196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 ostatecznym zakwalifikowaniu chorego do objęcia programem terap</w:t>
            </w:r>
            <w:r w:rsidR="00D256A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eutycznym podaje się lewodopę z </w:t>
            </w: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karbidopą w postaci ciągłego wlewu dojelitowego za pomocą zewnętrznej pompy, przez gastrostomię</w:t>
            </w:r>
            <w:r w:rsidR="0002543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(PEG)</w:t>
            </w:r>
            <w:r w:rsidR="00D256A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, w </w:t>
            </w: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daw</w:t>
            </w:r>
            <w:r w:rsidR="00D256A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ce ustalonej podczas leczenia w </w:t>
            </w: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okresie wstępnym. </w:t>
            </w:r>
          </w:p>
          <w:p w:rsidR="00160112" w:rsidRDefault="00260B05" w:rsidP="00D256AD">
            <w:pPr>
              <w:spacing w:after="0"/>
              <w:ind w:left="196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Dawka dobo</w:t>
            </w:r>
            <w:r w:rsidR="0016011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wa leku zawarta jest z reguły w </w:t>
            </w:r>
            <w:r w:rsidRPr="00260B05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jednej kasetce o pojemności 100 ml. W rzadkich przypadkach konieczne może być podanie większej dawki leku.</w:t>
            </w:r>
          </w:p>
          <w:p w:rsidR="00160112" w:rsidRPr="00160112" w:rsidRDefault="00160112" w:rsidP="00D256AD">
            <w:pPr>
              <w:pStyle w:val="Akapitzlist"/>
              <w:numPr>
                <w:ilvl w:val="0"/>
                <w:numId w:val="2"/>
              </w:numPr>
              <w:spacing w:before="240" w:after="0"/>
              <w:ind w:right="142" w:hanging="29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Leczenie apomorfiną</w:t>
            </w:r>
          </w:p>
          <w:p w:rsidR="00160112" w:rsidRPr="00CD3A00" w:rsidRDefault="00160112" w:rsidP="00D256AD">
            <w:pPr>
              <w:spacing w:before="120" w:after="0"/>
              <w:ind w:left="80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Ciągła infuzja podskórna apomorfiny (fiolki</w:t>
            </w:r>
            <w:r w:rsidR="00FB2B07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100 mg/20 ml):</w:t>
            </w:r>
          </w:p>
          <w:p w:rsidR="00160112" w:rsidRPr="00CD3A00" w:rsidRDefault="00160112" w:rsidP="00D256AD">
            <w:pPr>
              <w:numPr>
                <w:ilvl w:val="0"/>
                <w:numId w:val="22"/>
              </w:numPr>
              <w:tabs>
                <w:tab w:val="left" w:pos="712"/>
              </w:tabs>
              <w:spacing w:after="0"/>
              <w:ind w:left="570" w:right="142" w:hanging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Dawka początkowa 1 mg/godz.(0,2 ml/godz.).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Dawkę początkową zwiększa się w zależności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od indywidualnej odpowiedzi pacjenta na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leczenie;</w:t>
            </w:r>
          </w:p>
          <w:p w:rsidR="00160112" w:rsidRPr="00CD3A00" w:rsidRDefault="00160112" w:rsidP="00D256AD">
            <w:pPr>
              <w:numPr>
                <w:ilvl w:val="0"/>
                <w:numId w:val="22"/>
              </w:numPr>
              <w:tabs>
                <w:tab w:val="left" w:pos="712"/>
              </w:tabs>
              <w:spacing w:after="0"/>
              <w:ind w:left="570" w:right="142" w:hanging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Zwiększenie szybkości infuzji nie przekracza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0,5 mg/godz. i następuje w odstępach nie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mniejszych niż 4</w:t>
            </w:r>
            <w:r w:rsidR="00E76E4E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 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godz.;</w:t>
            </w:r>
          </w:p>
          <w:p w:rsidR="00160112" w:rsidRPr="00D965B2" w:rsidRDefault="00160112" w:rsidP="00D256AD">
            <w:pPr>
              <w:numPr>
                <w:ilvl w:val="0"/>
                <w:numId w:val="22"/>
              </w:numPr>
              <w:tabs>
                <w:tab w:val="left" w:pos="497"/>
                <w:tab w:val="left" w:pos="712"/>
              </w:tabs>
              <w:spacing w:after="0"/>
              <w:ind w:left="570" w:right="142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5B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W programie zwykle stosuje się dawkę od 1 mg/godz. do 4 mg/godz. </w:t>
            </w:r>
            <w:r w:rsidRPr="00D965B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(od 0,2 ml/godz. 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</w:t>
            </w:r>
            <w:r w:rsidRPr="00D965B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65B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0,8 ml/godz.);</w:t>
            </w:r>
          </w:p>
          <w:p w:rsidR="00160112" w:rsidRPr="00CD3A00" w:rsidRDefault="00160112" w:rsidP="00D256AD">
            <w:pPr>
              <w:numPr>
                <w:ilvl w:val="0"/>
                <w:numId w:val="22"/>
              </w:numPr>
              <w:tabs>
                <w:tab w:val="left" w:pos="712"/>
              </w:tabs>
              <w:spacing w:after="0"/>
              <w:ind w:left="570" w:right="142" w:hanging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Wlew stosuje się w stanie czuwania pacjenta,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nie zaleca się stosowania infuzji 24-godz.;</w:t>
            </w:r>
          </w:p>
          <w:p w:rsidR="00160112" w:rsidRPr="00CD3A00" w:rsidRDefault="00160112" w:rsidP="00D256AD">
            <w:pPr>
              <w:numPr>
                <w:ilvl w:val="0"/>
                <w:numId w:val="22"/>
              </w:numPr>
              <w:tabs>
                <w:tab w:val="left" w:pos="712"/>
              </w:tabs>
              <w:spacing w:after="0"/>
              <w:ind w:left="570" w:right="142" w:hanging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Miejsce wkłucia infuzji zmienia się co 12 godz.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 celu zmniejszenia prawdopodobieństwa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wystąpienia reakcji skórnych;</w:t>
            </w:r>
          </w:p>
          <w:p w:rsidR="00160112" w:rsidRPr="00CD3A00" w:rsidRDefault="00160112" w:rsidP="00D256AD">
            <w:pPr>
              <w:numPr>
                <w:ilvl w:val="0"/>
                <w:numId w:val="22"/>
              </w:numPr>
              <w:tabs>
                <w:tab w:val="left" w:pos="712"/>
              </w:tabs>
              <w:spacing w:after="0"/>
              <w:ind w:left="570" w:right="142" w:hanging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Maksymalna dobowa dawka apomorfiny nie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powinna przekraczać 100 mg.</w:t>
            </w:r>
          </w:p>
          <w:p w:rsidR="00160112" w:rsidRPr="00CD3A00" w:rsidRDefault="00160112" w:rsidP="00E76E4E">
            <w:pPr>
              <w:spacing w:after="120"/>
              <w:ind w:left="145" w:right="142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 czasie prowadzenia leczenia apomorfiną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modyfikuje się, stosownie do potrzeb, dawki leków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doustnych.</w:t>
            </w:r>
          </w:p>
          <w:p w:rsidR="00160112" w:rsidRPr="008B41C6" w:rsidRDefault="00160112" w:rsidP="00E76E4E">
            <w:pPr>
              <w:ind w:left="145" w:right="142"/>
              <w:jc w:val="both"/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</w:pP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Niezbędne jest ustalone podawanie pacjentowi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domperidonu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w dawce zazwyczaj 20 mg trzy razy na dobę.</w:t>
            </w:r>
            <w:r w:rsidRPr="008B41C6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Terapię domperidonem należy rozpocząć dzień przed rozpoczęciem terapii apomorfiną oraz kontynuować tak, aby łączny okres przyjmowania domperidonu trwał od 3 do maksymalnie 7 dni.</w:t>
            </w:r>
          </w:p>
          <w:p w:rsidR="00160112" w:rsidRPr="00160112" w:rsidRDefault="00160112" w:rsidP="00160112">
            <w:pPr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BD5" w:rsidRDefault="00F41BD5" w:rsidP="00E76E4E">
            <w:pPr>
              <w:pStyle w:val="Akapitzlist"/>
              <w:numPr>
                <w:ilvl w:val="0"/>
                <w:numId w:val="3"/>
              </w:numPr>
              <w:spacing w:before="120" w:after="120"/>
              <w:ind w:left="471" w:right="142" w:hanging="33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lastRenderedPageBreak/>
              <w:t>L</w:t>
            </w:r>
            <w:r w:rsidR="00FB2B0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eczenie 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ewodopą podawaną z karbidopą</w:t>
            </w:r>
          </w:p>
          <w:p w:rsidR="00E15E77" w:rsidRPr="00F41BD5" w:rsidRDefault="00A72250" w:rsidP="00E76E4E">
            <w:pPr>
              <w:pStyle w:val="Akapitzlist"/>
              <w:numPr>
                <w:ilvl w:val="1"/>
                <w:numId w:val="15"/>
              </w:numPr>
              <w:spacing w:before="120" w:after="120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F41BD5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Badania przy kwalifikacji do leczenia:</w:t>
            </w:r>
          </w:p>
          <w:p w:rsidR="00FB0225" w:rsidRPr="00E71CC0" w:rsidRDefault="00260B05" w:rsidP="00E76E4E">
            <w:pPr>
              <w:pStyle w:val="Akapitzlist"/>
              <w:numPr>
                <w:ilvl w:val="1"/>
                <w:numId w:val="3"/>
              </w:numPr>
              <w:spacing w:after="0"/>
              <w:ind w:left="471" w:right="141" w:hanging="33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stanu ruchowego (</w:t>
            </w:r>
            <w:r w:rsidR="0016011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czas spędzany w stanie off/on z </w:t>
            </w:r>
            <w:r w:rsidR="0002543B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uciążliwymi dyskinezami</w:t>
            </w: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)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E76E4E">
            <w:pPr>
              <w:pStyle w:val="Akapitzlist"/>
              <w:numPr>
                <w:ilvl w:val="1"/>
                <w:numId w:val="3"/>
              </w:numPr>
              <w:spacing w:after="0"/>
              <w:ind w:left="471" w:right="141" w:hanging="33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neuropsychologiczna zaburzeń nastroju (kwestionariusz Becka)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E76E4E">
            <w:pPr>
              <w:pStyle w:val="Akapitzlist"/>
              <w:numPr>
                <w:ilvl w:val="1"/>
                <w:numId w:val="3"/>
              </w:numPr>
              <w:spacing w:after="0"/>
              <w:ind w:left="471" w:right="141" w:hanging="33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zaburzeń poznawczych</w:t>
            </w:r>
            <w:r w:rsidR="0002543B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(skala Addenbrooke’s Cognitive Examination)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E76E4E">
            <w:pPr>
              <w:pStyle w:val="Akapitzlist"/>
              <w:numPr>
                <w:ilvl w:val="1"/>
                <w:numId w:val="3"/>
              </w:numPr>
              <w:spacing w:after="0"/>
              <w:ind w:left="471" w:right="141" w:hanging="33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morfologia krwi z rozmazem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E76E4E">
            <w:pPr>
              <w:pStyle w:val="Akapitzlist"/>
              <w:numPr>
                <w:ilvl w:val="1"/>
                <w:numId w:val="3"/>
              </w:numPr>
              <w:spacing w:after="0"/>
              <w:ind w:left="471" w:right="141" w:hanging="33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próby wątrobowe</w:t>
            </w:r>
            <w:r w:rsidR="00E6227A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(AspAT, AlAT)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E76E4E">
            <w:pPr>
              <w:pStyle w:val="Akapitzlist"/>
              <w:numPr>
                <w:ilvl w:val="1"/>
                <w:numId w:val="3"/>
              </w:numPr>
              <w:spacing w:after="0"/>
              <w:ind w:left="471" w:right="141" w:hanging="33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badanie układu krzepnięcia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02543B" w:rsidP="00E76E4E">
            <w:pPr>
              <w:pStyle w:val="Akapitzlist"/>
              <w:numPr>
                <w:ilvl w:val="1"/>
                <w:numId w:val="3"/>
              </w:numPr>
              <w:spacing w:after="0"/>
              <w:ind w:left="472" w:right="141" w:hanging="33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wynik </w:t>
            </w:r>
            <w:r w:rsidR="00260B05"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MRI głowy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z ostatnich 12 miesięcy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4753A5" w:rsidRPr="00E76E4E" w:rsidRDefault="00816EE3" w:rsidP="00E76E4E">
            <w:pPr>
              <w:pStyle w:val="Akapitzlist"/>
              <w:numPr>
                <w:ilvl w:val="1"/>
                <w:numId w:val="3"/>
              </w:numPr>
              <w:ind w:left="472" w:right="141" w:hanging="33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k</w:t>
            </w:r>
            <w:r w:rsidR="00260B05"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walifikacja przez chirurga / gastroenterologa do PEG</w:t>
            </w:r>
            <w:r w:rsidR="00AE3F2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.</w:t>
            </w:r>
          </w:p>
          <w:p w:rsidR="00E15E77" w:rsidRDefault="00A72250" w:rsidP="00E76E4E">
            <w:pPr>
              <w:pStyle w:val="Akapitzlist"/>
              <w:numPr>
                <w:ilvl w:val="1"/>
                <w:numId w:val="15"/>
              </w:numPr>
              <w:spacing w:before="120" w:after="120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nit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row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nie lec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z</w:t>
            </w:r>
            <w:r w:rsidRPr="009B30B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enia:</w:t>
            </w:r>
          </w:p>
          <w:p w:rsidR="00FB0225" w:rsidRPr="00E71CC0" w:rsidRDefault="00260B05" w:rsidP="00E76E4E">
            <w:pPr>
              <w:pStyle w:val="Akapitzlist"/>
              <w:numPr>
                <w:ilvl w:val="2"/>
                <w:numId w:val="10"/>
              </w:numPr>
              <w:spacing w:after="0"/>
              <w:ind w:left="472" w:right="141" w:hanging="329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morfologia krwi z rozmazem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</w:t>
            </w: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DB67B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 miesięcy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F81DBC" w:rsidP="00E76E4E">
            <w:pPr>
              <w:pStyle w:val="Akapitzlist"/>
              <w:numPr>
                <w:ilvl w:val="2"/>
                <w:numId w:val="10"/>
              </w:numPr>
              <w:spacing w:after="0"/>
              <w:ind w:left="472" w:right="141" w:hanging="329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AspAT, AlAT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</w:t>
            </w:r>
            <w:r w:rsidR="00260B05"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co </w:t>
            </w:r>
            <w:r w:rsidR="002F1394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 mies</w:t>
            </w:r>
            <w:r w:rsidR="00DB67B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ięcy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E6227A" w:rsidP="00E76E4E">
            <w:pPr>
              <w:pStyle w:val="Akapitzlist"/>
              <w:numPr>
                <w:ilvl w:val="2"/>
                <w:numId w:val="10"/>
              </w:numPr>
              <w:spacing w:after="0"/>
              <w:ind w:left="472" w:right="141" w:hanging="329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stanu ruchowego (czas spędzany w stanie off / on z uciążliwymi dyskinezami)</w:t>
            </w:r>
            <w:r w:rsidR="00F81DBC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co 3 miesiące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w pierwszym roku terapii, a następnie co 6 miesięcy</w:t>
            </w:r>
            <w:r w:rsidR="00F81DBC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E76E4E">
            <w:pPr>
              <w:pStyle w:val="Akapitzlist"/>
              <w:numPr>
                <w:ilvl w:val="2"/>
                <w:numId w:val="10"/>
              </w:numPr>
              <w:spacing w:after="0"/>
              <w:ind w:left="472" w:right="141" w:hanging="329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badanie neuropsychologiczne, tj:</w:t>
            </w:r>
          </w:p>
          <w:p w:rsidR="00FB0225" w:rsidRPr="00E71CC0" w:rsidRDefault="00260B05" w:rsidP="00E76E4E">
            <w:pPr>
              <w:pStyle w:val="Akapitzlist"/>
              <w:numPr>
                <w:ilvl w:val="2"/>
                <w:numId w:val="8"/>
              </w:numPr>
              <w:spacing w:after="0"/>
              <w:ind w:left="472" w:right="141" w:hanging="329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nastroju (kwestionariusz Becka), co 6 mies.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E71CC0" w:rsidRDefault="00260B05" w:rsidP="00E76E4E">
            <w:pPr>
              <w:pStyle w:val="Akapitzlist"/>
              <w:numPr>
                <w:ilvl w:val="2"/>
                <w:numId w:val="8"/>
              </w:numPr>
              <w:spacing w:after="0"/>
              <w:ind w:left="472" w:right="141" w:hanging="329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zaburzeń poznawczych</w:t>
            </w:r>
            <w:r w:rsidR="00E6227A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(skala Addenbrooke’s Cognitive Examination)</w:t>
            </w:r>
            <w:r w:rsidRP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 co 12 mies.</w:t>
            </w:r>
            <w:r w:rsidR="00E71CC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FB0225" w:rsidRPr="00F41BD5" w:rsidRDefault="00260B05" w:rsidP="00E76E4E">
            <w:pPr>
              <w:pStyle w:val="Akapitzlist"/>
              <w:numPr>
                <w:ilvl w:val="0"/>
                <w:numId w:val="16"/>
              </w:numPr>
              <w:spacing w:after="0"/>
              <w:ind w:left="472" w:right="141" w:hanging="329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F41BD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 PEG przez chirurga / gastroenterologa</w:t>
            </w:r>
            <w:r w:rsidR="00F81DBC" w:rsidRPr="00F41BD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 nie rzadziej niż raz na 3 miesiące</w:t>
            </w:r>
            <w:r w:rsidRPr="00F41BD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:rsidR="00E71CC0" w:rsidRDefault="00260B05" w:rsidP="00E76E4E">
            <w:pPr>
              <w:pStyle w:val="Akapitzlist"/>
              <w:numPr>
                <w:ilvl w:val="0"/>
                <w:numId w:val="16"/>
              </w:numPr>
              <w:spacing w:after="0"/>
              <w:ind w:left="472" w:right="141" w:hanging="329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korekta dotychczasowego leczenia: odstawienie lub dodanie innych l</w:t>
            </w:r>
            <w:r w:rsidR="00F81DBC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eków lub korekta dawki Duo</w:t>
            </w:r>
            <w:r w:rsidR="00AE3F20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dopy, doraźnie w miarę potrzeby;</w:t>
            </w:r>
          </w:p>
          <w:p w:rsidR="00160112" w:rsidRPr="00E76E4E" w:rsidRDefault="00AE3F20" w:rsidP="00E76E4E">
            <w:pPr>
              <w:pStyle w:val="Akapitzlist"/>
              <w:numPr>
                <w:ilvl w:val="0"/>
                <w:numId w:val="16"/>
              </w:numPr>
              <w:spacing w:after="0"/>
              <w:ind w:left="472" w:right="141" w:hanging="329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radiologiczna ocena położenia cewnika w jelicie we wstępnym okresie leczenia oraz po założeniu PEG.</w:t>
            </w:r>
          </w:p>
          <w:p w:rsidR="00160112" w:rsidRPr="00160112" w:rsidRDefault="00160112" w:rsidP="00E76E4E">
            <w:pPr>
              <w:pStyle w:val="Akapitzlist"/>
              <w:numPr>
                <w:ilvl w:val="0"/>
                <w:numId w:val="8"/>
              </w:numPr>
              <w:spacing w:before="240" w:after="0"/>
              <w:ind w:left="426" w:right="141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16011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Leczenie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16011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apomorfiną</w:t>
            </w:r>
          </w:p>
          <w:p w:rsidR="00160112" w:rsidRPr="00160112" w:rsidRDefault="00160112" w:rsidP="00E76E4E">
            <w:pPr>
              <w:pStyle w:val="Akapitzlist"/>
              <w:numPr>
                <w:ilvl w:val="1"/>
                <w:numId w:val="29"/>
              </w:numPr>
              <w:tabs>
                <w:tab w:val="left" w:pos="568"/>
              </w:tabs>
              <w:spacing w:before="120" w:after="120" w:line="230" w:lineRule="exact"/>
              <w:ind w:left="426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Style w:val="TeksttreciPogrubienie"/>
                <w:rFonts w:ascii="Times New Roman" w:eastAsiaTheme="minorHAnsi" w:hAnsi="Times New Roman"/>
                <w:sz w:val="20"/>
                <w:szCs w:val="20"/>
              </w:rPr>
              <w:t>Badania przy kwalifikacji</w:t>
            </w:r>
          </w:p>
          <w:p w:rsidR="00160112" w:rsidRPr="00CD3A00" w:rsidRDefault="00160112" w:rsidP="00E76E4E">
            <w:pPr>
              <w:numPr>
                <w:ilvl w:val="0"/>
                <w:numId w:val="24"/>
              </w:numPr>
              <w:tabs>
                <w:tab w:val="left" w:pos="1135"/>
              </w:tabs>
              <w:spacing w:after="0"/>
              <w:ind w:left="426" w:hanging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ocena stanu pacjenta w skali:</w:t>
            </w:r>
          </w:p>
          <w:p w:rsidR="00160112" w:rsidRPr="00CD3A00" w:rsidRDefault="00160112" w:rsidP="00E76E4E">
            <w:pPr>
              <w:numPr>
                <w:ilvl w:val="0"/>
                <w:numId w:val="25"/>
              </w:numPr>
              <w:tabs>
                <w:tab w:val="left" w:pos="1135"/>
              </w:tabs>
              <w:spacing w:after="0"/>
              <w:ind w:left="710" w:hanging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UPDRS część </w:t>
            </w: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III-IV </w:t>
            </w:r>
            <w:r w:rsidRPr="00160112">
              <w:rPr>
                <w:rStyle w:val="TeksttreciPogrubienie"/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="00E76E4E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ocena zaburzeń ruchowych i </w:t>
            </w: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zaburzeń okresu późnego;</w:t>
            </w:r>
          </w:p>
          <w:p w:rsidR="00160112" w:rsidRPr="00160112" w:rsidRDefault="00160112" w:rsidP="00E76E4E">
            <w:pPr>
              <w:numPr>
                <w:ilvl w:val="0"/>
                <w:numId w:val="25"/>
              </w:numPr>
              <w:tabs>
                <w:tab w:val="left" w:pos="532"/>
                <w:tab w:val="left" w:pos="1135"/>
              </w:tabs>
              <w:spacing w:after="0"/>
              <w:ind w:left="71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Becka </w:t>
            </w:r>
            <w:r w:rsidRPr="00160112">
              <w:rPr>
                <w:rStyle w:val="TeksttreciPogrubienie"/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ocena nastroju;</w:t>
            </w:r>
          </w:p>
          <w:p w:rsidR="00160112" w:rsidRPr="00160112" w:rsidRDefault="00160112" w:rsidP="00E76E4E">
            <w:pPr>
              <w:numPr>
                <w:ilvl w:val="0"/>
                <w:numId w:val="24"/>
              </w:numPr>
              <w:tabs>
                <w:tab w:val="left" w:pos="674"/>
                <w:tab w:val="left" w:pos="1135"/>
              </w:tabs>
              <w:spacing w:after="0"/>
              <w:ind w:left="426" w:hanging="283"/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Ocena funkcji poznawczych (stopień otępienia) w ocenie psychologa</w:t>
            </w:r>
            <w:r w:rsidR="00E76E4E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60112" w:rsidRPr="00CD3A00" w:rsidRDefault="00160112" w:rsidP="00E76E4E">
            <w:pPr>
              <w:numPr>
                <w:ilvl w:val="0"/>
                <w:numId w:val="24"/>
              </w:numPr>
              <w:tabs>
                <w:tab w:val="left" w:pos="532"/>
                <w:tab w:val="left" w:pos="1135"/>
              </w:tabs>
              <w:spacing w:after="0"/>
              <w:ind w:left="426" w:hanging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 ramach kwalifikacji pacjenta do udziału w programie konieczne jest wykonanie następujących badań:</w:t>
            </w:r>
          </w:p>
          <w:p w:rsidR="00160112" w:rsidRPr="00160112" w:rsidRDefault="00160112" w:rsidP="00E76E4E">
            <w:pPr>
              <w:numPr>
                <w:ilvl w:val="0"/>
                <w:numId w:val="26"/>
              </w:numPr>
              <w:tabs>
                <w:tab w:val="left" w:pos="568"/>
                <w:tab w:val="left" w:pos="816"/>
                <w:tab w:val="left" w:pos="1135"/>
              </w:tabs>
              <w:spacing w:after="0"/>
              <w:ind w:left="71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160112" w:rsidRPr="00160112" w:rsidRDefault="00160112" w:rsidP="00E76E4E">
            <w:pPr>
              <w:numPr>
                <w:ilvl w:val="0"/>
                <w:numId w:val="26"/>
              </w:numPr>
              <w:tabs>
                <w:tab w:val="left" w:pos="568"/>
                <w:tab w:val="left" w:pos="674"/>
                <w:tab w:val="left" w:pos="957"/>
                <w:tab w:val="left" w:pos="1135"/>
              </w:tabs>
              <w:spacing w:after="0"/>
              <w:ind w:left="71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aminotransferaza asparaginowa AspAT;</w:t>
            </w:r>
          </w:p>
          <w:p w:rsidR="00160112" w:rsidRPr="00160112" w:rsidRDefault="00160112" w:rsidP="00E76E4E">
            <w:pPr>
              <w:numPr>
                <w:ilvl w:val="0"/>
                <w:numId w:val="26"/>
              </w:numPr>
              <w:tabs>
                <w:tab w:val="left" w:pos="568"/>
                <w:tab w:val="left" w:pos="957"/>
                <w:tab w:val="left" w:pos="1135"/>
              </w:tabs>
              <w:spacing w:after="0"/>
              <w:ind w:left="71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aminotransferaza alaninowa AIAT</w:t>
            </w:r>
            <w:r w:rsidRPr="00160112">
              <w:rPr>
                <w:rStyle w:val="TeksttreciPogrubienie"/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160112" w:rsidRPr="00CD3A00" w:rsidRDefault="00160112" w:rsidP="00E76E4E">
            <w:pPr>
              <w:numPr>
                <w:ilvl w:val="0"/>
                <w:numId w:val="26"/>
              </w:numPr>
              <w:tabs>
                <w:tab w:val="left" w:pos="568"/>
                <w:tab w:val="left" w:pos="816"/>
                <w:tab w:val="left" w:pos="1135"/>
              </w:tabs>
              <w:spacing w:after="0"/>
              <w:ind w:left="710" w:hanging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poziom kreatyniny i mocznika w surowicy;</w:t>
            </w:r>
          </w:p>
          <w:p w:rsidR="00160112" w:rsidRPr="00CD3A00" w:rsidRDefault="00160112" w:rsidP="00E76E4E">
            <w:pPr>
              <w:numPr>
                <w:ilvl w:val="0"/>
                <w:numId w:val="26"/>
              </w:numPr>
              <w:tabs>
                <w:tab w:val="left" w:pos="435"/>
                <w:tab w:val="left" w:pos="568"/>
                <w:tab w:val="left" w:pos="957"/>
                <w:tab w:val="left" w:pos="1135"/>
              </w:tabs>
              <w:spacing w:after="0"/>
              <w:ind w:left="710" w:hanging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lastRenderedPageBreak/>
              <w:t>badanie mające na ce</w:t>
            </w:r>
            <w:r w:rsidR="00E76E4E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lu wykluczenie ciąży u kobiet w </w:t>
            </w: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wieku rozrodczym;</w:t>
            </w:r>
          </w:p>
          <w:p w:rsidR="00160112" w:rsidRPr="00160112" w:rsidRDefault="00160112" w:rsidP="00E76E4E">
            <w:pPr>
              <w:numPr>
                <w:ilvl w:val="0"/>
                <w:numId w:val="26"/>
              </w:numPr>
              <w:tabs>
                <w:tab w:val="left" w:pos="568"/>
                <w:tab w:val="left" w:pos="816"/>
                <w:tab w:val="left" w:pos="1135"/>
              </w:tabs>
              <w:spacing w:after="0"/>
              <w:ind w:left="710" w:hanging="283"/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badanie EKG;</w:t>
            </w:r>
          </w:p>
          <w:p w:rsidR="00160112" w:rsidRPr="00160112" w:rsidRDefault="00160112" w:rsidP="00E76E4E">
            <w:pPr>
              <w:numPr>
                <w:ilvl w:val="0"/>
                <w:numId w:val="26"/>
              </w:numPr>
              <w:tabs>
                <w:tab w:val="left" w:pos="568"/>
                <w:tab w:val="left" w:pos="816"/>
                <w:tab w:val="left" w:pos="1135"/>
              </w:tabs>
              <w:spacing w:after="180"/>
              <w:ind w:left="71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badanie CRP.</w:t>
            </w:r>
          </w:p>
          <w:p w:rsidR="00160112" w:rsidRPr="00FB2B07" w:rsidRDefault="00160112" w:rsidP="00E76E4E">
            <w:pPr>
              <w:pStyle w:val="Akapitzlist"/>
              <w:numPr>
                <w:ilvl w:val="1"/>
                <w:numId w:val="29"/>
              </w:numPr>
              <w:tabs>
                <w:tab w:val="left" w:pos="568"/>
              </w:tabs>
              <w:spacing w:before="180" w:after="120"/>
              <w:ind w:left="426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2B07">
              <w:rPr>
                <w:rStyle w:val="TeksttreciPogrubienie"/>
                <w:rFonts w:ascii="Times New Roman" w:eastAsiaTheme="minorHAnsi" w:hAnsi="Times New Roman"/>
                <w:sz w:val="20"/>
                <w:szCs w:val="20"/>
              </w:rPr>
              <w:t>Monitorowanie leczenia apomorfiną:</w:t>
            </w:r>
          </w:p>
          <w:p w:rsidR="00160112" w:rsidRPr="00CD3A00" w:rsidRDefault="00160112" w:rsidP="00E76E4E">
            <w:pPr>
              <w:pStyle w:val="Akapitzlist"/>
              <w:widowControl/>
              <w:numPr>
                <w:ilvl w:val="0"/>
                <w:numId w:val="28"/>
              </w:numPr>
              <w:tabs>
                <w:tab w:val="left" w:pos="713"/>
              </w:tabs>
              <w:spacing w:after="0"/>
              <w:ind w:left="426" w:right="200" w:hanging="28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76E4E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monitorowanie leczenia obejmuje ocenę stanu</w:t>
            </w:r>
            <w:r w:rsidR="00E76E4E" w:rsidRPr="00E76E4E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E4E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pacjenta w </w:t>
            </w:r>
            <w:r w:rsidRPr="00E76E4E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skali ruchowej (Część III) UPDRS </w:t>
            </w:r>
            <w:r w:rsidRPr="00E76E4E">
              <w:rPr>
                <w:rStyle w:val="TeksttreciPogrubienie"/>
                <w:rFonts w:ascii="Times New Roman" w:eastAsiaTheme="minorHAnsi" w:hAnsi="Times New Roman"/>
                <w:sz w:val="20"/>
                <w:szCs w:val="20"/>
              </w:rPr>
              <w:t>(</w:t>
            </w:r>
            <w:r w:rsidRPr="00CD3A00">
              <w:rPr>
                <w:rStyle w:val="TeksttreciKursywa"/>
                <w:rFonts w:ascii="Times New Roman" w:eastAsiaTheme="minorHAnsi" w:hAnsi="Times New Roman"/>
                <w:sz w:val="20"/>
                <w:szCs w:val="20"/>
                <w:lang w:val="pl-PL"/>
              </w:rPr>
              <w:t>United Parkinson's Disease Rating Scale).</w:t>
            </w:r>
            <w:r w:rsidRPr="00E76E4E">
              <w:rPr>
                <w:rStyle w:val="Teksttreci"/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E76E4E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Pierwsza ocena efektywności leczenia apomorfiną następuje po </w:t>
            </w:r>
            <w:r w:rsidRPr="00E76E4E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3 miesiącach od włączenia pacjenta do programu. Terapię uznaje się za skuteczną, gdy po 3 miesiącach leczenia osiągnięte są łącznie następujące parametry:</w:t>
            </w:r>
          </w:p>
          <w:p w:rsidR="00160112" w:rsidRPr="00CD3A00" w:rsidRDefault="00160112" w:rsidP="00E76E4E">
            <w:pPr>
              <w:numPr>
                <w:ilvl w:val="0"/>
                <w:numId w:val="23"/>
              </w:numPr>
              <w:tabs>
                <w:tab w:val="left" w:pos="713"/>
              </w:tabs>
              <w:spacing w:after="0"/>
              <w:ind w:left="710" w:right="146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uzyskanie poprawy w stanie </w:t>
            </w:r>
            <w:r w:rsidRPr="00CD3A00">
              <w:rPr>
                <w:rStyle w:val="TeksttreciKursywa"/>
                <w:rFonts w:ascii="Times New Roman" w:eastAsiaTheme="minorHAnsi" w:hAnsi="Times New Roman"/>
                <w:sz w:val="20"/>
                <w:szCs w:val="20"/>
                <w:lang w:val="pl-PL"/>
              </w:rPr>
              <w:t>on</w:t>
            </w: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w stosunku do stanu </w:t>
            </w:r>
            <w:r w:rsidRPr="00CD3A00">
              <w:rPr>
                <w:rStyle w:val="TeksttreciKursywa"/>
                <w:rFonts w:ascii="Times New Roman" w:eastAsiaTheme="minorHAnsi" w:hAnsi="Times New Roman"/>
                <w:sz w:val="20"/>
                <w:szCs w:val="20"/>
                <w:lang w:val="pl-PL"/>
              </w:rPr>
              <w:t>off,</w:t>
            </w: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wyrażającej się obniżeniem wyniku III części skali UPDRS o co najmniej 20% po ustaleniu dawki optymalnej;</w:t>
            </w:r>
          </w:p>
          <w:p w:rsidR="00160112" w:rsidRPr="00CD3A00" w:rsidRDefault="00160112" w:rsidP="00E76E4E">
            <w:pPr>
              <w:numPr>
                <w:ilvl w:val="0"/>
                <w:numId w:val="23"/>
              </w:numPr>
              <w:tabs>
                <w:tab w:val="left" w:pos="713"/>
              </w:tabs>
              <w:spacing w:after="0"/>
              <w:ind w:left="710" w:right="146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skrócenie łącznego okresu stanów </w:t>
            </w:r>
            <w:r w:rsidRPr="00CD3A00">
              <w:rPr>
                <w:rStyle w:val="TeksttreciKursywa"/>
                <w:rFonts w:ascii="Times New Roman" w:eastAsiaTheme="minorHAnsi" w:hAnsi="Times New Roman"/>
                <w:sz w:val="20"/>
                <w:szCs w:val="20"/>
                <w:lang w:val="pl-PL"/>
              </w:rPr>
              <w:t>off</w:t>
            </w: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o co najmniej </w:t>
            </w:r>
            <w:r w:rsidRPr="00160112">
              <w:rPr>
                <w:rStyle w:val="TeksttreciPogrubienie"/>
                <w:rFonts w:ascii="Times New Roman" w:eastAsiaTheme="minorHAnsi" w:hAnsi="Times New Roman"/>
                <w:b w:val="0"/>
                <w:sz w:val="20"/>
                <w:szCs w:val="20"/>
              </w:rPr>
              <w:t>50%.</w:t>
            </w:r>
          </w:p>
          <w:p w:rsidR="00160112" w:rsidRPr="00CD3A00" w:rsidRDefault="00160112" w:rsidP="00E76E4E">
            <w:pPr>
              <w:tabs>
                <w:tab w:val="left" w:pos="713"/>
              </w:tabs>
              <w:spacing w:before="120" w:after="120"/>
              <w:ind w:left="143" w:right="146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 trakcie kontynuacji leczenia, po osiągnięciu parametrów określonych w ust. 2 pkt 1. lit a i b, konieczne jest utrzymanie poziomu parametrów zgodnego z definicją odpowiedzi na leczenie,</w:t>
            </w:r>
          </w:p>
          <w:p w:rsidR="00160112" w:rsidRPr="00CD3A00" w:rsidRDefault="00160112" w:rsidP="00E76E4E">
            <w:pPr>
              <w:pStyle w:val="Akapitzlist"/>
              <w:widowControl/>
              <w:numPr>
                <w:ilvl w:val="0"/>
                <w:numId w:val="28"/>
              </w:numPr>
              <w:tabs>
                <w:tab w:val="left" w:pos="713"/>
              </w:tabs>
              <w:spacing w:after="0"/>
              <w:ind w:left="426" w:right="146" w:hanging="28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monitorowanie obejmuje również wykonanie po 30 dniach od pierwszego podania apomorfiny następujących badań:</w:t>
            </w:r>
          </w:p>
          <w:p w:rsidR="00E76E4E" w:rsidRPr="00E76E4E" w:rsidRDefault="00160112" w:rsidP="00E76E4E">
            <w:pPr>
              <w:pStyle w:val="Akapitzlist"/>
              <w:numPr>
                <w:ilvl w:val="0"/>
                <w:numId w:val="31"/>
              </w:numPr>
              <w:tabs>
                <w:tab w:val="left" w:pos="993"/>
              </w:tabs>
              <w:spacing w:after="0"/>
              <w:ind w:left="851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6E4E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morfologia krwi z rozmazem;</w:t>
            </w:r>
          </w:p>
          <w:p w:rsidR="00E76E4E" w:rsidRPr="00E76E4E" w:rsidRDefault="00160112" w:rsidP="00E76E4E">
            <w:pPr>
              <w:pStyle w:val="Akapitzlist"/>
              <w:numPr>
                <w:ilvl w:val="0"/>
                <w:numId w:val="31"/>
              </w:numPr>
              <w:tabs>
                <w:tab w:val="left" w:pos="993"/>
              </w:tabs>
              <w:spacing w:after="0"/>
              <w:ind w:left="851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6E4E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badanie ogólne moczu;</w:t>
            </w:r>
          </w:p>
          <w:p w:rsidR="00E76E4E" w:rsidRPr="00E76E4E" w:rsidRDefault="00160112" w:rsidP="00E76E4E">
            <w:pPr>
              <w:pStyle w:val="Akapitzlist"/>
              <w:numPr>
                <w:ilvl w:val="0"/>
                <w:numId w:val="31"/>
              </w:numPr>
              <w:tabs>
                <w:tab w:val="left" w:pos="993"/>
              </w:tabs>
              <w:spacing w:after="0"/>
              <w:ind w:left="851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6E4E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odczyn Biernackiego OB;</w:t>
            </w:r>
          </w:p>
          <w:p w:rsidR="00E76E4E" w:rsidRPr="00E76E4E" w:rsidRDefault="00160112" w:rsidP="00E76E4E">
            <w:pPr>
              <w:pStyle w:val="Akapitzlist"/>
              <w:numPr>
                <w:ilvl w:val="0"/>
                <w:numId w:val="31"/>
              </w:numPr>
              <w:tabs>
                <w:tab w:val="left" w:pos="993"/>
              </w:tabs>
              <w:spacing w:after="0"/>
              <w:ind w:left="851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6E4E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aminotransferaza asparaginowa AspAT;</w:t>
            </w:r>
          </w:p>
          <w:p w:rsidR="00E76E4E" w:rsidRPr="00E76E4E" w:rsidRDefault="00160112" w:rsidP="00E76E4E">
            <w:pPr>
              <w:pStyle w:val="Akapitzlist"/>
              <w:numPr>
                <w:ilvl w:val="0"/>
                <w:numId w:val="31"/>
              </w:numPr>
              <w:tabs>
                <w:tab w:val="left" w:pos="993"/>
              </w:tabs>
              <w:spacing w:after="0"/>
              <w:ind w:left="851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6E4E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aminotransferaza alaninowa AIAT;</w:t>
            </w:r>
          </w:p>
          <w:p w:rsidR="00E76E4E" w:rsidRPr="00CD3A00" w:rsidRDefault="00160112" w:rsidP="00E76E4E">
            <w:pPr>
              <w:pStyle w:val="Akapitzlist"/>
              <w:numPr>
                <w:ilvl w:val="0"/>
                <w:numId w:val="31"/>
              </w:numPr>
              <w:tabs>
                <w:tab w:val="left" w:pos="993"/>
              </w:tabs>
              <w:spacing w:after="0"/>
              <w:ind w:left="851" w:right="146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76E4E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poziom kreatyniny i mocznika w surowicy;</w:t>
            </w:r>
          </w:p>
          <w:p w:rsidR="00E76E4E" w:rsidRPr="00E76E4E" w:rsidRDefault="00160112" w:rsidP="00E76E4E">
            <w:pPr>
              <w:pStyle w:val="Akapitzlist"/>
              <w:numPr>
                <w:ilvl w:val="0"/>
                <w:numId w:val="31"/>
              </w:numPr>
              <w:tabs>
                <w:tab w:val="left" w:pos="993"/>
              </w:tabs>
              <w:spacing w:after="0"/>
              <w:ind w:left="851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6E4E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poziom bilirubiny;</w:t>
            </w:r>
          </w:p>
          <w:p w:rsidR="00160112" w:rsidRPr="00E76E4E" w:rsidRDefault="00160112" w:rsidP="00E76E4E">
            <w:pPr>
              <w:pStyle w:val="Akapitzlist"/>
              <w:numPr>
                <w:ilvl w:val="0"/>
                <w:numId w:val="31"/>
              </w:numPr>
              <w:tabs>
                <w:tab w:val="left" w:pos="993"/>
              </w:tabs>
              <w:spacing w:after="0"/>
              <w:ind w:left="851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6E4E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badanie EKG.</w:t>
            </w:r>
          </w:p>
          <w:p w:rsidR="00160112" w:rsidRPr="00CD3A00" w:rsidRDefault="00160112" w:rsidP="00E76E4E">
            <w:pPr>
              <w:pStyle w:val="Akapitzlist"/>
              <w:numPr>
                <w:ilvl w:val="0"/>
                <w:numId w:val="24"/>
              </w:numPr>
              <w:tabs>
                <w:tab w:val="left" w:pos="713"/>
              </w:tabs>
              <w:spacing w:after="0"/>
              <w:ind w:left="426" w:right="146" w:hanging="28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ocena poprawy stanu pacjenta w skali ruchowej (Część III) UPDRS odbywa się nie rzadziej niż co 3 miesiące.</w:t>
            </w:r>
          </w:p>
          <w:p w:rsidR="00160112" w:rsidRPr="00CD3A00" w:rsidRDefault="00160112" w:rsidP="00E76E4E">
            <w:pPr>
              <w:pStyle w:val="Akapitzlist"/>
              <w:numPr>
                <w:ilvl w:val="0"/>
                <w:numId w:val="24"/>
              </w:numPr>
              <w:tabs>
                <w:tab w:val="left" w:pos="713"/>
              </w:tabs>
              <w:spacing w:after="0"/>
              <w:ind w:left="426" w:right="146" w:hanging="28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kontrola stanu pacjenta </w:t>
            </w:r>
            <w:r w:rsidR="00E76E4E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co miesiąc w ciągu pierwszych 3 </w:t>
            </w: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miesięcy leczenia, a następnie co</w:t>
            </w:r>
            <w:r w:rsidRPr="00CD3A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3 miesiące;</w:t>
            </w:r>
          </w:p>
          <w:p w:rsidR="00160112" w:rsidRPr="00CD3A00" w:rsidRDefault="00160112" w:rsidP="00E76E4E">
            <w:pPr>
              <w:numPr>
                <w:ilvl w:val="0"/>
                <w:numId w:val="24"/>
              </w:numPr>
              <w:tabs>
                <w:tab w:val="left" w:pos="713"/>
              </w:tabs>
              <w:spacing w:after="0"/>
              <w:ind w:left="426" w:right="146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 ustaleniu sposobu dawkowania powtarza się co 12 miesięcy badania:</w:t>
            </w:r>
          </w:p>
          <w:p w:rsidR="00160112" w:rsidRPr="00160112" w:rsidRDefault="00160112" w:rsidP="00E76E4E">
            <w:pPr>
              <w:pStyle w:val="Akapitzlist"/>
              <w:numPr>
                <w:ilvl w:val="0"/>
                <w:numId w:val="27"/>
              </w:numPr>
              <w:tabs>
                <w:tab w:val="left" w:pos="713"/>
              </w:tabs>
              <w:spacing w:after="0"/>
              <w:ind w:left="710" w:right="146" w:hanging="28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morfologia krwi z rozmazem;</w:t>
            </w:r>
          </w:p>
          <w:p w:rsidR="00160112" w:rsidRPr="00160112" w:rsidRDefault="00160112" w:rsidP="00E76E4E">
            <w:pPr>
              <w:numPr>
                <w:ilvl w:val="0"/>
                <w:numId w:val="27"/>
              </w:numPr>
              <w:tabs>
                <w:tab w:val="left" w:pos="713"/>
              </w:tabs>
              <w:spacing w:after="0"/>
              <w:ind w:left="710" w:right="146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aminotransferaza asparaginowa AspAT</w:t>
            </w:r>
          </w:p>
          <w:p w:rsidR="00160112" w:rsidRPr="00160112" w:rsidRDefault="00160112" w:rsidP="00E76E4E">
            <w:pPr>
              <w:numPr>
                <w:ilvl w:val="0"/>
                <w:numId w:val="27"/>
              </w:numPr>
              <w:tabs>
                <w:tab w:val="left" w:pos="713"/>
              </w:tabs>
              <w:spacing w:after="0"/>
              <w:ind w:left="710" w:right="146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aminotransferaza alaninowa AIAT;</w:t>
            </w:r>
          </w:p>
          <w:p w:rsidR="00160112" w:rsidRPr="00CD3A00" w:rsidRDefault="00160112" w:rsidP="00E76E4E">
            <w:pPr>
              <w:numPr>
                <w:ilvl w:val="0"/>
                <w:numId w:val="27"/>
              </w:numPr>
              <w:tabs>
                <w:tab w:val="left" w:pos="713"/>
              </w:tabs>
              <w:spacing w:after="0"/>
              <w:ind w:left="710" w:right="146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poziom kreatyniny i mocznika w surowicy;</w:t>
            </w:r>
          </w:p>
          <w:p w:rsidR="00160112" w:rsidRPr="00160112" w:rsidRDefault="00160112" w:rsidP="00E76E4E">
            <w:pPr>
              <w:numPr>
                <w:ilvl w:val="0"/>
                <w:numId w:val="27"/>
              </w:numPr>
              <w:tabs>
                <w:tab w:val="left" w:pos="713"/>
              </w:tabs>
              <w:spacing w:after="0"/>
              <w:ind w:left="710" w:right="146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badanie EKG</w:t>
            </w:r>
          </w:p>
          <w:p w:rsidR="00866E3B" w:rsidRDefault="00160112" w:rsidP="00866E3B">
            <w:pPr>
              <w:numPr>
                <w:ilvl w:val="0"/>
                <w:numId w:val="27"/>
              </w:numPr>
              <w:tabs>
                <w:tab w:val="left" w:pos="713"/>
              </w:tabs>
              <w:spacing w:after="0"/>
              <w:ind w:left="710" w:right="146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112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badanie CRP.</w:t>
            </w:r>
          </w:p>
          <w:p w:rsidR="00866E3B" w:rsidRPr="00866E3B" w:rsidRDefault="00866E3B" w:rsidP="00866E3B">
            <w:pPr>
              <w:pStyle w:val="Akapitzlist"/>
              <w:numPr>
                <w:ilvl w:val="0"/>
                <w:numId w:val="24"/>
              </w:numPr>
              <w:tabs>
                <w:tab w:val="left" w:pos="993"/>
              </w:tabs>
              <w:spacing w:after="0"/>
              <w:ind w:left="426" w:right="146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Monitorowanie obejmuje również k</w:t>
            </w:r>
            <w:r w:rsidRPr="00866E3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onsultacje neuropsychologiczne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celu oceny wpływu terapii na funkcje poznawcze, przeprowadzane po roku terapii, a następnie z częstością 1/rok – decyzję o zasadności ich przeprowadzania podejmuje lekarz prowadzący w oparciu o stan kliniczny chorego.</w:t>
            </w:r>
          </w:p>
          <w:p w:rsidR="00FD49E7" w:rsidRPr="00160112" w:rsidRDefault="006959FD" w:rsidP="00E76E4E">
            <w:pPr>
              <w:pStyle w:val="Akapitzlist"/>
              <w:numPr>
                <w:ilvl w:val="0"/>
                <w:numId w:val="8"/>
              </w:numPr>
              <w:spacing w:before="120" w:after="120"/>
              <w:ind w:right="146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16011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Monitorowanie programu:</w:t>
            </w:r>
          </w:p>
          <w:p w:rsidR="00AC30BF" w:rsidRPr="00E73E18" w:rsidRDefault="00AC30BF" w:rsidP="00E76E4E">
            <w:pPr>
              <w:pStyle w:val="Akapitzlist"/>
              <w:numPr>
                <w:ilvl w:val="0"/>
                <w:numId w:val="6"/>
              </w:numPr>
              <w:spacing w:before="1" w:after="0"/>
              <w:ind w:left="330" w:right="146" w:hanging="283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E73E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:rsidR="00AC30BF" w:rsidRPr="00E73E18" w:rsidRDefault="00AC30BF" w:rsidP="00E76E4E">
            <w:pPr>
              <w:pStyle w:val="Akapitzlist"/>
              <w:numPr>
                <w:ilvl w:val="0"/>
                <w:numId w:val="6"/>
              </w:numPr>
              <w:spacing w:before="1" w:after="0"/>
              <w:ind w:left="330" w:right="146" w:hanging="283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E73E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Uzupełnianie danych zawartych w rejestrze (SMPT) </w:t>
            </w:r>
            <w:r w:rsidRPr="00E73E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lastRenderedPageBreak/>
              <w:t>dostępnym za pomocą aplikacji internetowej udostępnionej przez OW NFZ, na zakończenie leczenia;</w:t>
            </w:r>
          </w:p>
          <w:p w:rsidR="00D344B3" w:rsidRPr="00AC30BF" w:rsidRDefault="00AC30BF" w:rsidP="00E76E4E">
            <w:pPr>
              <w:pStyle w:val="Akapitzlist"/>
              <w:numPr>
                <w:ilvl w:val="0"/>
                <w:numId w:val="6"/>
              </w:numPr>
              <w:spacing w:before="1" w:after="0"/>
              <w:ind w:left="330" w:right="146" w:hanging="283"/>
              <w:contextualSpacing w:val="0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</w:pPr>
            <w:r w:rsidRPr="00E73E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A72250" w:rsidRPr="00D344B3" w:rsidRDefault="00A72250" w:rsidP="004018E2">
      <w:pPr>
        <w:rPr>
          <w:lang w:val="pl-PL"/>
        </w:rPr>
      </w:pPr>
    </w:p>
    <w:sectPr w:rsidR="00A72250" w:rsidRPr="00D344B3" w:rsidSect="00CD3A00">
      <w:pgSz w:w="16840" w:h="11900" w:orient="landscape"/>
      <w:pgMar w:top="1588" w:right="720" w:bottom="1418" w:left="72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6CD" w:rsidRDefault="002046CD" w:rsidP="004753A5">
      <w:pPr>
        <w:spacing w:after="0" w:line="240" w:lineRule="auto"/>
      </w:pPr>
      <w:r>
        <w:separator/>
      </w:r>
    </w:p>
  </w:endnote>
  <w:endnote w:type="continuationSeparator" w:id="0">
    <w:p w:rsidR="002046CD" w:rsidRDefault="002046CD" w:rsidP="00475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6CD" w:rsidRDefault="002046CD" w:rsidP="004753A5">
      <w:pPr>
        <w:spacing w:after="0" w:line="240" w:lineRule="auto"/>
      </w:pPr>
      <w:r>
        <w:separator/>
      </w:r>
    </w:p>
  </w:footnote>
  <w:footnote w:type="continuationSeparator" w:id="0">
    <w:p w:rsidR="002046CD" w:rsidRDefault="002046CD" w:rsidP="00475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BD8"/>
    <w:multiLevelType w:val="multilevel"/>
    <w:tmpl w:val="5E14B8C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1440"/>
      </w:pPr>
      <w:rPr>
        <w:rFonts w:hint="default"/>
      </w:rPr>
    </w:lvl>
  </w:abstractNum>
  <w:abstractNum w:abstractNumId="1" w15:restartNumberingAfterBreak="0">
    <w:nsid w:val="041E18B6"/>
    <w:multiLevelType w:val="multilevel"/>
    <w:tmpl w:val="3B70989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1440"/>
      </w:pPr>
      <w:rPr>
        <w:rFonts w:hint="default"/>
      </w:rPr>
    </w:lvl>
  </w:abstractNum>
  <w:abstractNum w:abstractNumId="2" w15:restartNumberingAfterBreak="0">
    <w:nsid w:val="04C413A6"/>
    <w:multiLevelType w:val="multilevel"/>
    <w:tmpl w:val="14069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421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3" w15:restartNumberingAfterBreak="0">
    <w:nsid w:val="065C25D1"/>
    <w:multiLevelType w:val="multilevel"/>
    <w:tmpl w:val="66B0D572"/>
    <w:numStyleLink w:val="HTA-Listapunktowa1"/>
  </w:abstractNum>
  <w:abstractNum w:abstractNumId="4" w15:restartNumberingAfterBreak="0">
    <w:nsid w:val="0D813392"/>
    <w:multiLevelType w:val="multilevel"/>
    <w:tmpl w:val="DCD2E00E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  <w:b/>
        <w:color w:val="000000"/>
        <w:sz w:val="17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/>
        <w:color w:val="000000"/>
        <w:sz w:val="17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/>
        <w:color w:val="000000"/>
        <w:sz w:val="17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b/>
        <w:color w:val="000000"/>
        <w:sz w:val="17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/>
        <w:color w:val="000000"/>
        <w:sz w:val="17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b/>
        <w:color w:val="000000"/>
        <w:sz w:val="17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/>
        <w:color w:val="000000"/>
        <w:sz w:val="17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b/>
        <w:color w:val="000000"/>
        <w:sz w:val="17"/>
      </w:rPr>
    </w:lvl>
  </w:abstractNum>
  <w:abstractNum w:abstractNumId="5" w15:restartNumberingAfterBreak="0">
    <w:nsid w:val="0E8E04A1"/>
    <w:multiLevelType w:val="multilevel"/>
    <w:tmpl w:val="C1D498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8E7D7A"/>
    <w:multiLevelType w:val="multilevel"/>
    <w:tmpl w:val="AB7E6AD6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402857"/>
    <w:multiLevelType w:val="hybridMultilevel"/>
    <w:tmpl w:val="81BED1E6"/>
    <w:lvl w:ilvl="0" w:tplc="751E6D6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F24BB"/>
    <w:multiLevelType w:val="multilevel"/>
    <w:tmpl w:val="9B127E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9" w15:restartNumberingAfterBreak="0">
    <w:nsid w:val="169A5795"/>
    <w:multiLevelType w:val="hybridMultilevel"/>
    <w:tmpl w:val="834EC5A2"/>
    <w:lvl w:ilvl="0" w:tplc="04150011">
      <w:start w:val="1"/>
      <w:numFmt w:val="decimal"/>
      <w:lvlText w:val="%1)"/>
      <w:lvlJc w:val="left"/>
      <w:pPr>
        <w:ind w:left="842" w:hanging="360"/>
      </w:p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0" w15:restartNumberingAfterBreak="0">
    <w:nsid w:val="21DA55AB"/>
    <w:multiLevelType w:val="multilevel"/>
    <w:tmpl w:val="97341D62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FC0EC2"/>
    <w:multiLevelType w:val="multilevel"/>
    <w:tmpl w:val="F30A4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4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12" w15:restartNumberingAfterBreak="0">
    <w:nsid w:val="2A122272"/>
    <w:multiLevelType w:val="multilevel"/>
    <w:tmpl w:val="2FD0A116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330463"/>
    <w:multiLevelType w:val="multilevel"/>
    <w:tmpl w:val="85BAB51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B5052B"/>
    <w:multiLevelType w:val="multilevel"/>
    <w:tmpl w:val="EEC46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15" w15:restartNumberingAfterBreak="0">
    <w:nsid w:val="37A336D9"/>
    <w:multiLevelType w:val="hybridMultilevel"/>
    <w:tmpl w:val="A53C9134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6" w15:restartNumberingAfterBreak="0">
    <w:nsid w:val="3BD651DC"/>
    <w:multiLevelType w:val="hybridMultilevel"/>
    <w:tmpl w:val="10ACF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14EB7"/>
    <w:multiLevelType w:val="multilevel"/>
    <w:tmpl w:val="FF82AB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4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0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6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38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6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928" w:hanging="1440"/>
      </w:pPr>
      <w:rPr>
        <w:rFonts w:hint="default"/>
        <w:b/>
      </w:rPr>
    </w:lvl>
  </w:abstractNum>
  <w:abstractNum w:abstractNumId="18" w15:restartNumberingAfterBreak="0">
    <w:nsid w:val="45964AA2"/>
    <w:multiLevelType w:val="multilevel"/>
    <w:tmpl w:val="DA34A0B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9B528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98A7F07"/>
    <w:multiLevelType w:val="multilevel"/>
    <w:tmpl w:val="673A802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B71D7F"/>
    <w:multiLevelType w:val="multilevel"/>
    <w:tmpl w:val="9864D7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9A435FB"/>
    <w:multiLevelType w:val="hybridMultilevel"/>
    <w:tmpl w:val="728A81BC"/>
    <w:lvl w:ilvl="0" w:tplc="2ECCD7F4">
      <w:start w:val="1"/>
      <w:numFmt w:val="decimal"/>
      <w:pStyle w:val="Tabela-Listanumerowana"/>
      <w:lvlText w:val="%1."/>
      <w:lvlJc w:val="left"/>
      <w:pPr>
        <w:ind w:left="643" w:hanging="360"/>
      </w:pPr>
    </w:lvl>
    <w:lvl w:ilvl="1" w:tplc="2B8ACBB0">
      <w:start w:val="1"/>
      <w:numFmt w:val="lowerLetter"/>
      <w:lvlText w:val="%2."/>
      <w:lvlJc w:val="left"/>
      <w:pPr>
        <w:ind w:left="1363" w:hanging="360"/>
      </w:pPr>
    </w:lvl>
    <w:lvl w:ilvl="2" w:tplc="BD1EC8B4">
      <w:start w:val="1"/>
      <w:numFmt w:val="lowerRoman"/>
      <w:lvlText w:val="%3."/>
      <w:lvlJc w:val="right"/>
      <w:pPr>
        <w:ind w:left="2083" w:hanging="180"/>
      </w:pPr>
    </w:lvl>
    <w:lvl w:ilvl="3" w:tplc="2E04C0CE" w:tentative="1">
      <w:start w:val="1"/>
      <w:numFmt w:val="decimal"/>
      <w:lvlText w:val="%4."/>
      <w:lvlJc w:val="left"/>
      <w:pPr>
        <w:ind w:left="2803" w:hanging="360"/>
      </w:pPr>
    </w:lvl>
    <w:lvl w:ilvl="4" w:tplc="355A402A" w:tentative="1">
      <w:start w:val="1"/>
      <w:numFmt w:val="lowerLetter"/>
      <w:lvlText w:val="%5."/>
      <w:lvlJc w:val="left"/>
      <w:pPr>
        <w:ind w:left="3523" w:hanging="360"/>
      </w:pPr>
    </w:lvl>
    <w:lvl w:ilvl="5" w:tplc="E89C484E" w:tentative="1">
      <w:start w:val="1"/>
      <w:numFmt w:val="lowerRoman"/>
      <w:lvlText w:val="%6."/>
      <w:lvlJc w:val="right"/>
      <w:pPr>
        <w:ind w:left="4243" w:hanging="180"/>
      </w:pPr>
    </w:lvl>
    <w:lvl w:ilvl="6" w:tplc="452AC33E" w:tentative="1">
      <w:start w:val="1"/>
      <w:numFmt w:val="decimal"/>
      <w:lvlText w:val="%7."/>
      <w:lvlJc w:val="left"/>
      <w:pPr>
        <w:ind w:left="4963" w:hanging="360"/>
      </w:pPr>
    </w:lvl>
    <w:lvl w:ilvl="7" w:tplc="C43E3A3E" w:tentative="1">
      <w:start w:val="1"/>
      <w:numFmt w:val="lowerLetter"/>
      <w:lvlText w:val="%8."/>
      <w:lvlJc w:val="left"/>
      <w:pPr>
        <w:ind w:left="5683" w:hanging="360"/>
      </w:pPr>
    </w:lvl>
    <w:lvl w:ilvl="8" w:tplc="AD06510A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5A175ABE"/>
    <w:multiLevelType w:val="multilevel"/>
    <w:tmpl w:val="66B0D572"/>
    <w:styleLink w:val="HTA-Listapunktowa1"/>
    <w:lvl w:ilvl="0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"/>
      <w:lvlText w:val="o"/>
      <w:lvlJc w:val="left"/>
      <w:pPr>
        <w:tabs>
          <w:tab w:val="num" w:pos="851"/>
        </w:tabs>
        <w:ind w:left="851" w:hanging="283"/>
      </w:pPr>
      <w:rPr>
        <w:rFonts w:ascii="Courier New" w:hAnsi="Courier New" w:hint="default"/>
      </w:rPr>
    </w:lvl>
    <w:lvl w:ilvl="2">
      <w:start w:val="1"/>
      <w:numFmt w:val="none"/>
      <w:pStyle w:val="Listapunktowana3"/>
      <w:lvlText w:val="-"/>
      <w:lvlJc w:val="left"/>
      <w:pPr>
        <w:tabs>
          <w:tab w:val="num" w:pos="1135"/>
        </w:tabs>
        <w:ind w:left="1135" w:hanging="283"/>
      </w:pPr>
      <w:rPr>
        <w:rFonts w:hint="default"/>
      </w:rPr>
    </w:lvl>
    <w:lvl w:ilvl="3">
      <w:start w:val="1"/>
      <w:numFmt w:val="bullet"/>
      <w:pStyle w:val="Listapunktowana4"/>
      <w:lvlText w:val="·"/>
      <w:lvlJc w:val="left"/>
      <w:pPr>
        <w:tabs>
          <w:tab w:val="num" w:pos="1419"/>
        </w:tabs>
        <w:ind w:left="1419" w:hanging="283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"/>
      <w:lvlText w:val="·"/>
      <w:lvlJc w:val="left"/>
      <w:pPr>
        <w:tabs>
          <w:tab w:val="num" w:pos="1703"/>
        </w:tabs>
        <w:ind w:left="1703" w:hanging="283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987"/>
        </w:tabs>
        <w:ind w:left="1987" w:hanging="283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2271"/>
        </w:tabs>
        <w:ind w:left="2271" w:hanging="283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555"/>
        </w:tabs>
        <w:ind w:left="2555" w:hanging="283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839"/>
        </w:tabs>
        <w:ind w:left="2839" w:hanging="283"/>
      </w:pPr>
      <w:rPr>
        <w:rFonts w:ascii="Arial" w:hAnsi="Arial" w:hint="default"/>
        <w:color w:val="000000"/>
      </w:rPr>
    </w:lvl>
  </w:abstractNum>
  <w:abstractNum w:abstractNumId="24" w15:restartNumberingAfterBreak="0">
    <w:nsid w:val="5ADD2337"/>
    <w:multiLevelType w:val="multilevel"/>
    <w:tmpl w:val="928A5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1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25" w15:restartNumberingAfterBreak="0">
    <w:nsid w:val="5C1B3165"/>
    <w:multiLevelType w:val="multilevel"/>
    <w:tmpl w:val="7FA44798"/>
    <w:styleLink w:val="HTA-Listanagwkwrozdziaw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Nagwek7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pStyle w:val="Nagwek9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 w15:restartNumberingAfterBreak="0">
    <w:nsid w:val="626E73EE"/>
    <w:multiLevelType w:val="multilevel"/>
    <w:tmpl w:val="055E2FD6"/>
    <w:lvl w:ilvl="0">
      <w:start w:val="1"/>
      <w:numFmt w:val="lowerLetter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056DA8"/>
    <w:multiLevelType w:val="multilevel"/>
    <w:tmpl w:val="16763214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3DB6EC0"/>
    <w:multiLevelType w:val="multilevel"/>
    <w:tmpl w:val="F74EFEF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BC7E7B"/>
    <w:multiLevelType w:val="multilevel"/>
    <w:tmpl w:val="F8B272F0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D144387"/>
    <w:multiLevelType w:val="multilevel"/>
    <w:tmpl w:val="DE4C8796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1440"/>
      </w:pPr>
      <w:rPr>
        <w:rFonts w:hint="default"/>
      </w:rPr>
    </w:lvl>
  </w:abstractNum>
  <w:num w:numId="1">
    <w:abstractNumId w:val="24"/>
  </w:num>
  <w:num w:numId="2">
    <w:abstractNumId w:val="14"/>
  </w:num>
  <w:num w:numId="3">
    <w:abstractNumId w:val="11"/>
  </w:num>
  <w:num w:numId="4">
    <w:abstractNumId w:val="22"/>
  </w:num>
  <w:num w:numId="5">
    <w:abstractNumId w:val="25"/>
  </w:num>
  <w:num w:numId="6">
    <w:abstractNumId w:val="16"/>
  </w:num>
  <w:num w:numId="7">
    <w:abstractNumId w:val="9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3"/>
  </w:num>
  <w:num w:numId="13">
    <w:abstractNumId w:val="21"/>
  </w:num>
  <w:num w:numId="14">
    <w:abstractNumId w:val="17"/>
  </w:num>
  <w:num w:numId="15">
    <w:abstractNumId w:val="8"/>
  </w:num>
  <w:num w:numId="16">
    <w:abstractNumId w:val="30"/>
  </w:num>
  <w:num w:numId="17">
    <w:abstractNumId w:val="18"/>
  </w:num>
  <w:num w:numId="18">
    <w:abstractNumId w:val="27"/>
  </w:num>
  <w:num w:numId="19">
    <w:abstractNumId w:val="10"/>
  </w:num>
  <w:num w:numId="20">
    <w:abstractNumId w:val="6"/>
  </w:num>
  <w:num w:numId="21">
    <w:abstractNumId w:val="19"/>
  </w:num>
  <w:num w:numId="22">
    <w:abstractNumId w:val="12"/>
  </w:num>
  <w:num w:numId="23">
    <w:abstractNumId w:val="29"/>
  </w:num>
  <w:num w:numId="24">
    <w:abstractNumId w:val="13"/>
  </w:num>
  <w:num w:numId="25">
    <w:abstractNumId w:val="20"/>
  </w:num>
  <w:num w:numId="26">
    <w:abstractNumId w:val="28"/>
  </w:num>
  <w:num w:numId="27">
    <w:abstractNumId w:val="26"/>
  </w:num>
  <w:num w:numId="28">
    <w:abstractNumId w:val="7"/>
  </w:num>
  <w:num w:numId="29">
    <w:abstractNumId w:val="4"/>
  </w:num>
  <w:num w:numId="30">
    <w:abstractNumId w:val="5"/>
  </w:num>
  <w:num w:numId="31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77"/>
    <w:rsid w:val="0002543B"/>
    <w:rsid w:val="00046B54"/>
    <w:rsid w:val="00060FB4"/>
    <w:rsid w:val="00076893"/>
    <w:rsid w:val="00087D29"/>
    <w:rsid w:val="00093685"/>
    <w:rsid w:val="000A22CD"/>
    <w:rsid w:val="000A4343"/>
    <w:rsid w:val="000B7B27"/>
    <w:rsid w:val="000F66AA"/>
    <w:rsid w:val="00160112"/>
    <w:rsid w:val="00170220"/>
    <w:rsid w:val="001B4AA2"/>
    <w:rsid w:val="001E4C54"/>
    <w:rsid w:val="00201860"/>
    <w:rsid w:val="002046CD"/>
    <w:rsid w:val="00260B05"/>
    <w:rsid w:val="00285F57"/>
    <w:rsid w:val="00290DE9"/>
    <w:rsid w:val="00292FA3"/>
    <w:rsid w:val="00293929"/>
    <w:rsid w:val="002A4BA0"/>
    <w:rsid w:val="002D1D65"/>
    <w:rsid w:val="002F1394"/>
    <w:rsid w:val="002F6E13"/>
    <w:rsid w:val="00310EC7"/>
    <w:rsid w:val="00340EBD"/>
    <w:rsid w:val="00344AF0"/>
    <w:rsid w:val="0036574A"/>
    <w:rsid w:val="003C7214"/>
    <w:rsid w:val="003E4625"/>
    <w:rsid w:val="004018E2"/>
    <w:rsid w:val="004200D2"/>
    <w:rsid w:val="00423DCB"/>
    <w:rsid w:val="00456F86"/>
    <w:rsid w:val="00464873"/>
    <w:rsid w:val="004661B0"/>
    <w:rsid w:val="00474F55"/>
    <w:rsid w:val="004753A5"/>
    <w:rsid w:val="00532447"/>
    <w:rsid w:val="005326EE"/>
    <w:rsid w:val="00564099"/>
    <w:rsid w:val="005B2EB3"/>
    <w:rsid w:val="00636CF3"/>
    <w:rsid w:val="0064754B"/>
    <w:rsid w:val="006959FD"/>
    <w:rsid w:val="006A30C0"/>
    <w:rsid w:val="006D6665"/>
    <w:rsid w:val="00711A45"/>
    <w:rsid w:val="00726F6A"/>
    <w:rsid w:val="00737520"/>
    <w:rsid w:val="007F649F"/>
    <w:rsid w:val="00811000"/>
    <w:rsid w:val="00813CF5"/>
    <w:rsid w:val="00816EE3"/>
    <w:rsid w:val="00817BB9"/>
    <w:rsid w:val="00821ECC"/>
    <w:rsid w:val="00827BCE"/>
    <w:rsid w:val="00827ECA"/>
    <w:rsid w:val="00854E7A"/>
    <w:rsid w:val="00861E7D"/>
    <w:rsid w:val="00866E3B"/>
    <w:rsid w:val="0087106A"/>
    <w:rsid w:val="00873402"/>
    <w:rsid w:val="008745C9"/>
    <w:rsid w:val="0088240E"/>
    <w:rsid w:val="008C6354"/>
    <w:rsid w:val="00903D49"/>
    <w:rsid w:val="00916A59"/>
    <w:rsid w:val="00923108"/>
    <w:rsid w:val="0093247F"/>
    <w:rsid w:val="00946D82"/>
    <w:rsid w:val="009576BE"/>
    <w:rsid w:val="0098625A"/>
    <w:rsid w:val="00987066"/>
    <w:rsid w:val="009B30BE"/>
    <w:rsid w:val="009B51AF"/>
    <w:rsid w:val="009C3C9F"/>
    <w:rsid w:val="009F223D"/>
    <w:rsid w:val="00A35911"/>
    <w:rsid w:val="00A72250"/>
    <w:rsid w:val="00A766E7"/>
    <w:rsid w:val="00A801AF"/>
    <w:rsid w:val="00AC30BF"/>
    <w:rsid w:val="00AD2286"/>
    <w:rsid w:val="00AD28B7"/>
    <w:rsid w:val="00AE3F20"/>
    <w:rsid w:val="00AF36BD"/>
    <w:rsid w:val="00B10142"/>
    <w:rsid w:val="00B2236B"/>
    <w:rsid w:val="00B3148C"/>
    <w:rsid w:val="00B35705"/>
    <w:rsid w:val="00B4095B"/>
    <w:rsid w:val="00B42E27"/>
    <w:rsid w:val="00B517A0"/>
    <w:rsid w:val="00B55729"/>
    <w:rsid w:val="00B61991"/>
    <w:rsid w:val="00B82564"/>
    <w:rsid w:val="00BE1142"/>
    <w:rsid w:val="00BE14F7"/>
    <w:rsid w:val="00C61392"/>
    <w:rsid w:val="00C85003"/>
    <w:rsid w:val="00C94384"/>
    <w:rsid w:val="00CA0885"/>
    <w:rsid w:val="00CB46B1"/>
    <w:rsid w:val="00CD3839"/>
    <w:rsid w:val="00CD3A00"/>
    <w:rsid w:val="00D03C44"/>
    <w:rsid w:val="00D256AD"/>
    <w:rsid w:val="00D344B3"/>
    <w:rsid w:val="00D70ECD"/>
    <w:rsid w:val="00D70ED7"/>
    <w:rsid w:val="00D87183"/>
    <w:rsid w:val="00DA6972"/>
    <w:rsid w:val="00DB67B5"/>
    <w:rsid w:val="00DD3671"/>
    <w:rsid w:val="00DE65C5"/>
    <w:rsid w:val="00E15E77"/>
    <w:rsid w:val="00E22212"/>
    <w:rsid w:val="00E2398F"/>
    <w:rsid w:val="00E32A05"/>
    <w:rsid w:val="00E448C2"/>
    <w:rsid w:val="00E6227A"/>
    <w:rsid w:val="00E71CC0"/>
    <w:rsid w:val="00E73E18"/>
    <w:rsid w:val="00E76E4E"/>
    <w:rsid w:val="00E84D19"/>
    <w:rsid w:val="00EC4563"/>
    <w:rsid w:val="00EE0B7B"/>
    <w:rsid w:val="00F17267"/>
    <w:rsid w:val="00F41BD5"/>
    <w:rsid w:val="00F47698"/>
    <w:rsid w:val="00F54604"/>
    <w:rsid w:val="00F7159F"/>
    <w:rsid w:val="00F81DBC"/>
    <w:rsid w:val="00F938C9"/>
    <w:rsid w:val="00FA128A"/>
    <w:rsid w:val="00FB0225"/>
    <w:rsid w:val="00FB2B07"/>
    <w:rsid w:val="00FD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254AF-36EB-4C39-820F-F21478B0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0" w:qFormat="1"/>
    <w:lsdException w:name="heading 2" w:semiHidden="1" w:uiPriority="10" w:unhideWhenUsed="1" w:qFormat="1"/>
    <w:lsdException w:name="heading 3" w:semiHidden="1" w:uiPriority="10" w:unhideWhenUsed="1" w:qFormat="1"/>
    <w:lsdException w:name="heading 4" w:semiHidden="1" w:uiPriority="10" w:unhideWhenUsed="1" w:qFormat="1"/>
    <w:lsdException w:name="heading 5" w:semiHidden="1" w:uiPriority="10" w:unhideWhenUsed="1" w:qFormat="1"/>
    <w:lsdException w:name="heading 6" w:semiHidden="1" w:uiPriority="10" w:unhideWhenUsed="1" w:qFormat="1"/>
    <w:lsdException w:name="heading 7" w:semiHidden="1" w:uiPriority="10" w:unhideWhenUsed="1" w:qFormat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paragraph" w:styleId="Nagwek1">
    <w:name w:val="heading 1"/>
    <w:basedOn w:val="Normalny"/>
    <w:next w:val="Tekstpodstawowy"/>
    <w:link w:val="Nagwek1Znak"/>
    <w:uiPriority w:val="10"/>
    <w:qFormat/>
    <w:rsid w:val="006959FD"/>
    <w:pPr>
      <w:keepNext/>
      <w:keepLines/>
      <w:pageBreakBefore/>
      <w:widowControl/>
      <w:numPr>
        <w:numId w:val="5"/>
      </w:numPr>
      <w:spacing w:before="720" w:after="360" w:line="360" w:lineRule="auto"/>
      <w:jc w:val="both"/>
      <w:outlineLvl w:val="0"/>
    </w:pPr>
    <w:rPr>
      <w:rFonts w:ascii="Arial" w:eastAsia="Times New Roman" w:hAnsi="Arial" w:cs="Times New Roman"/>
      <w:b/>
      <w:caps/>
      <w:sz w:val="28"/>
      <w:szCs w:val="28"/>
      <w:lang w:val="pl-PL" w:bidi="en-US"/>
    </w:rPr>
  </w:style>
  <w:style w:type="paragraph" w:styleId="Nagwek2">
    <w:name w:val="heading 2"/>
    <w:basedOn w:val="Normalny"/>
    <w:next w:val="Tekstpodstawowy"/>
    <w:link w:val="Nagwek2Znak"/>
    <w:uiPriority w:val="10"/>
    <w:qFormat/>
    <w:rsid w:val="006959FD"/>
    <w:pPr>
      <w:keepNext/>
      <w:keepLines/>
      <w:widowControl/>
      <w:numPr>
        <w:ilvl w:val="1"/>
        <w:numId w:val="5"/>
      </w:numPr>
      <w:spacing w:before="480" w:after="240" w:line="360" w:lineRule="auto"/>
      <w:jc w:val="both"/>
      <w:outlineLvl w:val="1"/>
    </w:pPr>
    <w:rPr>
      <w:rFonts w:ascii="Arial" w:eastAsia="Times New Roman" w:hAnsi="Arial" w:cs="Times New Roman"/>
      <w:b/>
      <w:sz w:val="24"/>
      <w:szCs w:val="26"/>
      <w:lang w:val="pl-PL" w:bidi="en-US"/>
    </w:rPr>
  </w:style>
  <w:style w:type="paragraph" w:styleId="Nagwek3">
    <w:name w:val="heading 3"/>
    <w:basedOn w:val="Normalny"/>
    <w:next w:val="Tekstpodstawowy"/>
    <w:link w:val="Nagwek3Znak"/>
    <w:uiPriority w:val="10"/>
    <w:unhideWhenUsed/>
    <w:qFormat/>
    <w:rsid w:val="006959FD"/>
    <w:pPr>
      <w:keepNext/>
      <w:keepLines/>
      <w:widowControl/>
      <w:numPr>
        <w:ilvl w:val="2"/>
        <w:numId w:val="5"/>
      </w:numPr>
      <w:spacing w:before="480" w:after="120" w:line="360" w:lineRule="auto"/>
      <w:jc w:val="both"/>
      <w:outlineLvl w:val="2"/>
    </w:pPr>
    <w:rPr>
      <w:rFonts w:ascii="Arial" w:eastAsia="Times New Roman" w:hAnsi="Arial" w:cs="Times New Roman"/>
      <w:b/>
      <w:szCs w:val="20"/>
      <w:lang w:val="pl-PL" w:bidi="en-US"/>
    </w:rPr>
  </w:style>
  <w:style w:type="paragraph" w:styleId="Nagwek4">
    <w:name w:val="heading 4"/>
    <w:basedOn w:val="Normalny"/>
    <w:next w:val="Tekstpodstawowy"/>
    <w:link w:val="Nagwek4Znak"/>
    <w:uiPriority w:val="10"/>
    <w:unhideWhenUsed/>
    <w:qFormat/>
    <w:rsid w:val="006959FD"/>
    <w:pPr>
      <w:keepNext/>
      <w:keepLines/>
      <w:widowControl/>
      <w:numPr>
        <w:ilvl w:val="3"/>
        <w:numId w:val="5"/>
      </w:numPr>
      <w:spacing w:before="360" w:after="120" w:line="360" w:lineRule="auto"/>
      <w:jc w:val="both"/>
      <w:outlineLvl w:val="3"/>
    </w:pPr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paragraph" w:styleId="Nagwek5">
    <w:name w:val="heading 5"/>
    <w:basedOn w:val="Normalny"/>
    <w:next w:val="Tekstpodstawowy"/>
    <w:link w:val="Nagwek5Znak"/>
    <w:uiPriority w:val="10"/>
    <w:unhideWhenUsed/>
    <w:rsid w:val="006959FD"/>
    <w:pPr>
      <w:keepNext/>
      <w:keepLines/>
      <w:widowControl/>
      <w:numPr>
        <w:ilvl w:val="4"/>
        <w:numId w:val="5"/>
      </w:numPr>
      <w:spacing w:before="200" w:after="0" w:line="360" w:lineRule="auto"/>
      <w:jc w:val="both"/>
      <w:outlineLvl w:val="4"/>
    </w:pPr>
    <w:rPr>
      <w:rFonts w:ascii="Arial" w:eastAsia="Times New Roman" w:hAnsi="Arial" w:cs="Times New Roman"/>
      <w:b/>
      <w:i/>
      <w:sz w:val="20"/>
      <w:szCs w:val="20"/>
      <w:lang w:val="pl-PL" w:bidi="en-US"/>
    </w:rPr>
  </w:style>
  <w:style w:type="paragraph" w:styleId="Nagwek6">
    <w:name w:val="heading 6"/>
    <w:basedOn w:val="Normalny"/>
    <w:next w:val="Tekstpodstawowy"/>
    <w:link w:val="Nagwek6Znak"/>
    <w:uiPriority w:val="10"/>
    <w:unhideWhenUsed/>
    <w:rsid w:val="006959FD"/>
    <w:pPr>
      <w:keepNext/>
      <w:keepLines/>
      <w:widowControl/>
      <w:numPr>
        <w:ilvl w:val="5"/>
        <w:numId w:val="5"/>
      </w:numPr>
      <w:spacing w:before="240" w:after="120" w:line="360" w:lineRule="auto"/>
      <w:jc w:val="both"/>
      <w:outlineLvl w:val="5"/>
    </w:pPr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paragraph" w:styleId="Nagwek7">
    <w:name w:val="heading 7"/>
    <w:basedOn w:val="Normalny"/>
    <w:next w:val="Tekstpodstawowy"/>
    <w:link w:val="Nagwek7Znak"/>
    <w:uiPriority w:val="10"/>
    <w:unhideWhenUsed/>
    <w:rsid w:val="006959FD"/>
    <w:pPr>
      <w:keepNext/>
      <w:keepLines/>
      <w:widowControl/>
      <w:numPr>
        <w:ilvl w:val="6"/>
        <w:numId w:val="5"/>
      </w:numPr>
      <w:spacing w:before="240" w:after="120" w:line="360" w:lineRule="auto"/>
      <w:jc w:val="both"/>
      <w:outlineLvl w:val="6"/>
    </w:pPr>
    <w:rPr>
      <w:rFonts w:ascii="Arial" w:eastAsia="Times New Roman" w:hAnsi="Arial" w:cs="Times New Roman"/>
      <w:bCs/>
      <w:i/>
      <w:iCs/>
      <w:sz w:val="20"/>
      <w:szCs w:val="20"/>
      <w:lang w:val="pl-PL" w:bidi="en-US"/>
    </w:rPr>
  </w:style>
  <w:style w:type="paragraph" w:styleId="Nagwek8">
    <w:name w:val="heading 8"/>
    <w:basedOn w:val="Normalny"/>
    <w:next w:val="Tekstpodstawowy"/>
    <w:link w:val="Nagwek8Znak"/>
    <w:uiPriority w:val="10"/>
    <w:unhideWhenUsed/>
    <w:rsid w:val="006959FD"/>
    <w:pPr>
      <w:keepNext/>
      <w:keepLines/>
      <w:widowControl/>
      <w:numPr>
        <w:ilvl w:val="7"/>
        <w:numId w:val="5"/>
      </w:numPr>
      <w:spacing w:before="240" w:after="120" w:line="360" w:lineRule="auto"/>
      <w:jc w:val="both"/>
      <w:outlineLvl w:val="7"/>
    </w:pPr>
    <w:rPr>
      <w:rFonts w:ascii="Arial" w:eastAsia="Times New Roman" w:hAnsi="Arial" w:cs="Times New Roman"/>
      <w:bCs/>
      <w:sz w:val="20"/>
      <w:szCs w:val="20"/>
      <w:lang w:val="pl-PL" w:bidi="en-US"/>
    </w:rPr>
  </w:style>
  <w:style w:type="paragraph" w:styleId="Nagwek9">
    <w:name w:val="heading 9"/>
    <w:basedOn w:val="Normalny"/>
    <w:next w:val="Tekstpodstawowy"/>
    <w:link w:val="Nagwek9Znak"/>
    <w:uiPriority w:val="10"/>
    <w:semiHidden/>
    <w:unhideWhenUsed/>
    <w:rsid w:val="006959FD"/>
    <w:pPr>
      <w:keepNext/>
      <w:keepLines/>
      <w:widowControl/>
      <w:numPr>
        <w:ilvl w:val="8"/>
        <w:numId w:val="5"/>
      </w:numPr>
      <w:spacing w:before="240" w:after="120" w:line="360" w:lineRule="auto"/>
      <w:jc w:val="both"/>
      <w:outlineLvl w:val="8"/>
    </w:pPr>
    <w:rPr>
      <w:rFonts w:ascii="Arial" w:eastAsia="Times New Roman" w:hAnsi="Arial" w:cs="Times New Roman"/>
      <w:bCs/>
      <w:i/>
      <w:iCs/>
      <w:spacing w:val="5"/>
      <w:sz w:val="20"/>
      <w:szCs w:val="20"/>
      <w:lang w:val="pl-PL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44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18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18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18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8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8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86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018E2"/>
    <w:pPr>
      <w:widowControl/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0"/>
    <w:rsid w:val="006959FD"/>
    <w:rPr>
      <w:rFonts w:ascii="Arial" w:eastAsia="Times New Roman" w:hAnsi="Arial" w:cs="Times New Roman"/>
      <w:b/>
      <w:caps/>
      <w:sz w:val="28"/>
      <w:szCs w:val="28"/>
      <w:lang w:val="pl-PL" w:bidi="en-US"/>
    </w:rPr>
  </w:style>
  <w:style w:type="character" w:customStyle="1" w:styleId="Nagwek2Znak">
    <w:name w:val="Nagłówek 2 Znak"/>
    <w:basedOn w:val="Domylnaczcionkaakapitu"/>
    <w:link w:val="Nagwek2"/>
    <w:uiPriority w:val="10"/>
    <w:rsid w:val="006959FD"/>
    <w:rPr>
      <w:rFonts w:ascii="Arial" w:eastAsia="Times New Roman" w:hAnsi="Arial" w:cs="Times New Roman"/>
      <w:b/>
      <w:sz w:val="24"/>
      <w:szCs w:val="26"/>
      <w:lang w:val="pl-PL" w:bidi="en-US"/>
    </w:rPr>
  </w:style>
  <w:style w:type="character" w:customStyle="1" w:styleId="Nagwek3Znak">
    <w:name w:val="Nagłówek 3 Znak"/>
    <w:basedOn w:val="Domylnaczcionkaakapitu"/>
    <w:link w:val="Nagwek3"/>
    <w:uiPriority w:val="10"/>
    <w:rsid w:val="006959FD"/>
    <w:rPr>
      <w:rFonts w:ascii="Arial" w:eastAsia="Times New Roman" w:hAnsi="Arial" w:cs="Times New Roman"/>
      <w:b/>
      <w:szCs w:val="20"/>
      <w:lang w:val="pl-PL" w:bidi="en-US"/>
    </w:rPr>
  </w:style>
  <w:style w:type="character" w:customStyle="1" w:styleId="Nagwek4Znak">
    <w:name w:val="Nagłówek 4 Znak"/>
    <w:basedOn w:val="Domylnaczcionkaakapitu"/>
    <w:link w:val="Nagwek4"/>
    <w:uiPriority w:val="10"/>
    <w:rsid w:val="006959FD"/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character" w:customStyle="1" w:styleId="Nagwek5Znak">
    <w:name w:val="Nagłówek 5 Znak"/>
    <w:basedOn w:val="Domylnaczcionkaakapitu"/>
    <w:link w:val="Nagwek5"/>
    <w:uiPriority w:val="10"/>
    <w:rsid w:val="006959FD"/>
    <w:rPr>
      <w:rFonts w:ascii="Arial" w:eastAsia="Times New Roman" w:hAnsi="Arial" w:cs="Times New Roman"/>
      <w:b/>
      <w:i/>
      <w:sz w:val="20"/>
      <w:szCs w:val="20"/>
      <w:lang w:val="pl-PL" w:bidi="en-US"/>
    </w:rPr>
  </w:style>
  <w:style w:type="character" w:customStyle="1" w:styleId="Nagwek6Znak">
    <w:name w:val="Nagłówek 6 Znak"/>
    <w:basedOn w:val="Domylnaczcionkaakapitu"/>
    <w:link w:val="Nagwek6"/>
    <w:uiPriority w:val="10"/>
    <w:rsid w:val="006959FD"/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character" w:customStyle="1" w:styleId="Nagwek7Znak">
    <w:name w:val="Nagłówek 7 Znak"/>
    <w:basedOn w:val="Domylnaczcionkaakapitu"/>
    <w:link w:val="Nagwek7"/>
    <w:uiPriority w:val="10"/>
    <w:rsid w:val="006959FD"/>
    <w:rPr>
      <w:rFonts w:ascii="Arial" w:eastAsia="Times New Roman" w:hAnsi="Arial" w:cs="Times New Roman"/>
      <w:bCs/>
      <w:i/>
      <w:iCs/>
      <w:sz w:val="20"/>
      <w:szCs w:val="20"/>
      <w:lang w:val="pl-PL" w:bidi="en-US"/>
    </w:rPr>
  </w:style>
  <w:style w:type="character" w:customStyle="1" w:styleId="Nagwek8Znak">
    <w:name w:val="Nagłówek 8 Znak"/>
    <w:basedOn w:val="Domylnaczcionkaakapitu"/>
    <w:link w:val="Nagwek8"/>
    <w:uiPriority w:val="10"/>
    <w:rsid w:val="006959FD"/>
    <w:rPr>
      <w:rFonts w:ascii="Arial" w:eastAsia="Times New Roman" w:hAnsi="Arial" w:cs="Times New Roman"/>
      <w:bCs/>
      <w:sz w:val="20"/>
      <w:szCs w:val="20"/>
      <w:lang w:val="pl-PL" w:bidi="en-US"/>
    </w:rPr>
  </w:style>
  <w:style w:type="character" w:customStyle="1" w:styleId="Nagwek9Znak">
    <w:name w:val="Nagłówek 9 Znak"/>
    <w:basedOn w:val="Domylnaczcionkaakapitu"/>
    <w:link w:val="Nagwek9"/>
    <w:uiPriority w:val="10"/>
    <w:semiHidden/>
    <w:rsid w:val="006959FD"/>
    <w:rPr>
      <w:rFonts w:ascii="Arial" w:eastAsia="Times New Roman" w:hAnsi="Arial" w:cs="Times New Roman"/>
      <w:bCs/>
      <w:i/>
      <w:iCs/>
      <w:spacing w:val="5"/>
      <w:sz w:val="20"/>
      <w:szCs w:val="20"/>
      <w:lang w:val="pl-PL" w:bidi="en-US"/>
    </w:rPr>
  </w:style>
  <w:style w:type="paragraph" w:customStyle="1" w:styleId="Tabela-Listanumerowana">
    <w:name w:val="Tabela - Lista numerowana"/>
    <w:basedOn w:val="Normalny"/>
    <w:next w:val="Normalny"/>
    <w:uiPriority w:val="7"/>
    <w:qFormat/>
    <w:rsid w:val="006959FD"/>
    <w:pPr>
      <w:widowControl/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bCs/>
      <w:sz w:val="16"/>
      <w:szCs w:val="20"/>
      <w:lang w:val="pl-PL" w:bidi="en-US"/>
    </w:rPr>
  </w:style>
  <w:style w:type="numbering" w:customStyle="1" w:styleId="HTA-Listanagwkwrozdziaw">
    <w:name w:val="HTA - Lista nagłówków rozdziałów"/>
    <w:uiPriority w:val="99"/>
    <w:rsid w:val="006959FD"/>
    <w:pPr>
      <w:numPr>
        <w:numId w:val="5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59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59FD"/>
  </w:style>
  <w:style w:type="paragraph" w:customStyle="1" w:styleId="Tabela-TekstpodstawowyDolewej">
    <w:name w:val="Tabela - Tekst podstawowy Do lewej"/>
    <w:basedOn w:val="Normalny"/>
    <w:uiPriority w:val="7"/>
    <w:qFormat/>
    <w:rsid w:val="006959FD"/>
    <w:pPr>
      <w:widowControl/>
      <w:spacing w:after="0" w:line="240" w:lineRule="auto"/>
    </w:pPr>
    <w:rPr>
      <w:rFonts w:ascii="Arial" w:eastAsia="Times New Roman" w:hAnsi="Arial" w:cs="Times New Roman"/>
      <w:bCs/>
      <w:sz w:val="16"/>
      <w:szCs w:val="20"/>
      <w:lang w:val="pl-PL" w:bidi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C3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30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49E7"/>
    <w:pPr>
      <w:widowControl/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pl-PL"/>
    </w:rPr>
  </w:style>
  <w:style w:type="numbering" w:customStyle="1" w:styleId="HTA-Listapunktowa1">
    <w:name w:val="HTA - Lista punktowa 1"/>
    <w:uiPriority w:val="99"/>
    <w:rsid w:val="0002543B"/>
    <w:pPr>
      <w:numPr>
        <w:numId w:val="11"/>
      </w:numPr>
    </w:pPr>
  </w:style>
  <w:style w:type="paragraph" w:styleId="Listapunktowana">
    <w:name w:val="List Bullet"/>
    <w:basedOn w:val="Normalny"/>
    <w:uiPriority w:val="4"/>
    <w:qFormat/>
    <w:rsid w:val="0002543B"/>
    <w:pPr>
      <w:widowControl/>
      <w:numPr>
        <w:numId w:val="12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2">
    <w:name w:val="List Bullet 2"/>
    <w:basedOn w:val="Normalny"/>
    <w:uiPriority w:val="4"/>
    <w:unhideWhenUsed/>
    <w:rsid w:val="0002543B"/>
    <w:pPr>
      <w:widowControl/>
      <w:numPr>
        <w:ilvl w:val="1"/>
        <w:numId w:val="12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3">
    <w:name w:val="List Bullet 3"/>
    <w:basedOn w:val="Normalny"/>
    <w:uiPriority w:val="4"/>
    <w:unhideWhenUsed/>
    <w:rsid w:val="0002543B"/>
    <w:pPr>
      <w:widowControl/>
      <w:numPr>
        <w:ilvl w:val="2"/>
        <w:numId w:val="12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4">
    <w:name w:val="List Bullet 4"/>
    <w:basedOn w:val="Normalny"/>
    <w:uiPriority w:val="4"/>
    <w:unhideWhenUsed/>
    <w:rsid w:val="0002543B"/>
    <w:pPr>
      <w:widowControl/>
      <w:numPr>
        <w:ilvl w:val="3"/>
        <w:numId w:val="12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5">
    <w:name w:val="List Bullet 5"/>
    <w:basedOn w:val="Normalny"/>
    <w:uiPriority w:val="4"/>
    <w:unhideWhenUsed/>
    <w:rsid w:val="0002543B"/>
    <w:pPr>
      <w:widowControl/>
      <w:numPr>
        <w:ilvl w:val="4"/>
        <w:numId w:val="12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475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3A5"/>
  </w:style>
  <w:style w:type="paragraph" w:styleId="Stopka">
    <w:name w:val="footer"/>
    <w:basedOn w:val="Normalny"/>
    <w:link w:val="StopkaZnak"/>
    <w:uiPriority w:val="99"/>
    <w:unhideWhenUsed/>
    <w:rsid w:val="00475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3A5"/>
  </w:style>
  <w:style w:type="character" w:customStyle="1" w:styleId="Teksttreci">
    <w:name w:val="Tekst treści"/>
    <w:basedOn w:val="Domylnaczcionkaakapitu"/>
    <w:rsid w:val="0016011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Kursywa">
    <w:name w:val="Tekst treści + Kursywa"/>
    <w:basedOn w:val="Domylnaczcionkaakapitu"/>
    <w:rsid w:val="0016011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Teksttreci2">
    <w:name w:val="Tekst treści (2)_"/>
    <w:basedOn w:val="Domylnaczcionkaakapitu"/>
    <w:link w:val="Teksttreci20"/>
    <w:rsid w:val="00160112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60112"/>
    <w:pPr>
      <w:shd w:val="clear" w:color="auto" w:fill="FFFFFF"/>
      <w:spacing w:before="180" w:after="0" w:line="202" w:lineRule="exact"/>
      <w:ind w:hanging="360"/>
    </w:pPr>
    <w:rPr>
      <w:rFonts w:ascii="Arial" w:eastAsia="Arial" w:hAnsi="Arial" w:cs="Arial"/>
      <w:b/>
      <w:bCs/>
      <w:sz w:val="17"/>
      <w:szCs w:val="17"/>
    </w:rPr>
  </w:style>
  <w:style w:type="character" w:customStyle="1" w:styleId="TeksttreciPogrubienie">
    <w:name w:val="Tekst treści + Pogrubienie"/>
    <w:basedOn w:val="Domylnaczcionkaakapitu"/>
    <w:rsid w:val="0016011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49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73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8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76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5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77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1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0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78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75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99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26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51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74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5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49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595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10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58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3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414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0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747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74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43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7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47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79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24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48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13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02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E23E9-FED7-40DF-86FF-A8F1FFA0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1638</Words>
  <Characters>9832</Characters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2014-07-21T11:48:00Z</cp:lastPrinted>
  <dcterms:created xsi:type="dcterms:W3CDTF">2018-04-24T14:38:00Z</dcterms:created>
  <dcterms:modified xsi:type="dcterms:W3CDTF">2018-04-24T14:39:00Z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2014-04-23T00:00:00Z</vt:filetime>
  </property>
  <property fmtid="{D5CDD505-2E9C-101B-9397-08002B2CF9AE}" pid="3" name="LastSaved">
    <vt:filetime>2014-07-07T00:00:00Z</vt:filetime>
  </property>
</Properties>
</file>